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4CDD" w14:textId="189AEE6D" w:rsidR="00C12A30" w:rsidRDefault="00C12A30" w:rsidP="002A2826">
      <w:pPr>
        <w:spacing w:after="0" w:line="240" w:lineRule="auto"/>
        <w:ind w:left="6372" w:firstLine="708"/>
        <w:jc w:val="both"/>
        <w:rPr>
          <w:rFonts w:ascii="Times New Roman" w:eastAsia="Times New Roman" w:hAnsi="Times New Roman" w:cs="Times New Roman"/>
          <w:sz w:val="24"/>
          <w:szCs w:val="24"/>
        </w:rPr>
      </w:pPr>
      <w:r w:rsidRPr="00F24BDD">
        <w:rPr>
          <w:rFonts w:ascii="Times New Roman" w:eastAsia="Times New Roman" w:hAnsi="Times New Roman" w:cs="Times New Roman"/>
          <w:sz w:val="24"/>
          <w:szCs w:val="24"/>
        </w:rPr>
        <w:t>Nr.</w:t>
      </w:r>
      <w:r w:rsidR="002A2826">
        <w:rPr>
          <w:rFonts w:ascii="Times New Roman" w:eastAsia="Times New Roman" w:hAnsi="Times New Roman" w:cs="Times New Roman"/>
          <w:sz w:val="24"/>
          <w:szCs w:val="24"/>
        </w:rPr>
        <w:t>....................</w:t>
      </w:r>
    </w:p>
    <w:p w14:paraId="0AB98479" w14:textId="0A1BC444" w:rsidR="002A2826" w:rsidRDefault="002A2826" w:rsidP="002A2826">
      <w:pPr>
        <w:spacing w:after="0" w:line="240" w:lineRule="auto"/>
        <w:ind w:left="6372" w:firstLine="708"/>
        <w:jc w:val="both"/>
        <w:rPr>
          <w:rFonts w:ascii="Times New Roman" w:eastAsia="Times New Roman" w:hAnsi="Times New Roman" w:cs="Times New Roman"/>
          <w:sz w:val="24"/>
          <w:szCs w:val="24"/>
        </w:rPr>
      </w:pPr>
    </w:p>
    <w:p w14:paraId="664521EB" w14:textId="05331D93" w:rsidR="002A2826" w:rsidRDefault="002A2826" w:rsidP="002A2826">
      <w:pPr>
        <w:spacing w:after="0" w:line="240" w:lineRule="auto"/>
        <w:ind w:left="6372" w:firstLine="708"/>
        <w:jc w:val="both"/>
        <w:rPr>
          <w:rFonts w:ascii="Times New Roman" w:eastAsia="Times New Roman" w:hAnsi="Times New Roman" w:cs="Times New Roman"/>
          <w:sz w:val="24"/>
          <w:szCs w:val="24"/>
        </w:rPr>
      </w:pPr>
    </w:p>
    <w:p w14:paraId="150244C8" w14:textId="77777777" w:rsidR="002A2826" w:rsidRPr="00F24BDD" w:rsidRDefault="002A2826" w:rsidP="002A2826">
      <w:pPr>
        <w:spacing w:after="0" w:line="240" w:lineRule="auto"/>
        <w:ind w:left="6372" w:firstLine="708"/>
        <w:jc w:val="both"/>
        <w:rPr>
          <w:rFonts w:ascii="Times New Roman" w:eastAsia="Times New Roman" w:hAnsi="Times New Roman" w:cs="Times New Roman"/>
          <w:sz w:val="24"/>
          <w:szCs w:val="24"/>
        </w:rPr>
      </w:pPr>
    </w:p>
    <w:p w14:paraId="383F86DD" w14:textId="77777777" w:rsidR="00C12A30" w:rsidRPr="00F24BDD" w:rsidRDefault="00C12A30" w:rsidP="00C12A30">
      <w:pPr>
        <w:spacing w:after="0" w:line="240" w:lineRule="auto"/>
        <w:ind w:left="2160" w:firstLine="720"/>
        <w:rPr>
          <w:rFonts w:ascii="Times New Roman" w:eastAsia="Times New Roman" w:hAnsi="Times New Roman" w:cs="Times New Roman"/>
          <w:sz w:val="28"/>
          <w:szCs w:val="28"/>
        </w:rPr>
      </w:pPr>
      <w:r w:rsidRPr="00F24BDD">
        <w:rPr>
          <w:rFonts w:ascii="Times New Roman" w:eastAsia="Times New Roman" w:hAnsi="Times New Roman" w:cs="Times New Roman"/>
          <w:sz w:val="28"/>
          <w:szCs w:val="28"/>
        </w:rPr>
        <w:t>Către</w:t>
      </w:r>
    </w:p>
    <w:p w14:paraId="7825982F" w14:textId="61E395DC" w:rsidR="00C12A30" w:rsidRPr="00F24BDD" w:rsidRDefault="00C12A30" w:rsidP="00C12A30">
      <w:pPr>
        <w:spacing w:after="0" w:line="240" w:lineRule="auto"/>
        <w:jc w:val="center"/>
        <w:rPr>
          <w:rFonts w:ascii="Times New Roman" w:eastAsia="Times New Roman" w:hAnsi="Times New Roman" w:cs="Times New Roman"/>
          <w:b/>
          <w:sz w:val="28"/>
          <w:szCs w:val="28"/>
        </w:rPr>
      </w:pPr>
      <w:r w:rsidRPr="00F24BDD">
        <w:rPr>
          <w:rFonts w:ascii="Times New Roman" w:eastAsia="Times New Roman" w:hAnsi="Times New Roman" w:cs="Times New Roman"/>
          <w:b/>
          <w:sz w:val="28"/>
          <w:szCs w:val="28"/>
        </w:rPr>
        <w:t xml:space="preserve">TRIBUNALUL </w:t>
      </w:r>
      <w:r w:rsidR="002A2826">
        <w:rPr>
          <w:rFonts w:ascii="Times New Roman" w:eastAsia="Times New Roman" w:hAnsi="Times New Roman" w:cs="Times New Roman"/>
          <w:b/>
          <w:sz w:val="28"/>
          <w:szCs w:val="28"/>
        </w:rPr>
        <w:t>BOTOȘANI</w:t>
      </w:r>
    </w:p>
    <w:p w14:paraId="554C435A" w14:textId="77777777" w:rsidR="00C12A30" w:rsidRPr="00F24BDD" w:rsidRDefault="00C12A30" w:rsidP="00C12A30">
      <w:pPr>
        <w:spacing w:after="0" w:line="240" w:lineRule="auto"/>
        <w:jc w:val="center"/>
        <w:rPr>
          <w:rFonts w:ascii="Times New Roman" w:eastAsia="Times New Roman" w:hAnsi="Times New Roman" w:cs="Times New Roman"/>
          <w:b/>
          <w:sz w:val="24"/>
          <w:szCs w:val="24"/>
        </w:rPr>
      </w:pPr>
      <w:r w:rsidRPr="00F24BDD">
        <w:rPr>
          <w:rFonts w:ascii="Times New Roman" w:eastAsia="Times New Roman" w:hAnsi="Times New Roman" w:cs="Times New Roman"/>
          <w:b/>
          <w:sz w:val="28"/>
          <w:szCs w:val="28"/>
        </w:rPr>
        <w:t>SECŢIA  I CIVILĂ</w:t>
      </w:r>
      <w:r w:rsidRPr="00F24BDD">
        <w:rPr>
          <w:rFonts w:ascii="Times New Roman" w:eastAsia="Times New Roman" w:hAnsi="Times New Roman" w:cs="Times New Roman"/>
          <w:b/>
          <w:sz w:val="24"/>
          <w:szCs w:val="24"/>
        </w:rPr>
        <w:t xml:space="preserve"> </w:t>
      </w:r>
    </w:p>
    <w:p w14:paraId="69C0AC55" w14:textId="72F8F561" w:rsidR="00C12A30" w:rsidRDefault="00C12A30" w:rsidP="00C12A30">
      <w:pPr>
        <w:spacing w:after="0" w:line="240" w:lineRule="auto"/>
        <w:jc w:val="center"/>
        <w:rPr>
          <w:rFonts w:ascii="Times New Roman" w:eastAsia="Times New Roman" w:hAnsi="Times New Roman" w:cs="Times New Roman"/>
          <w:b/>
          <w:sz w:val="8"/>
          <w:szCs w:val="8"/>
        </w:rPr>
      </w:pPr>
    </w:p>
    <w:p w14:paraId="53EA8FFC" w14:textId="68A2993A" w:rsidR="002A2826" w:rsidRDefault="002A2826" w:rsidP="00C12A30">
      <w:pPr>
        <w:spacing w:after="0" w:line="240" w:lineRule="auto"/>
        <w:jc w:val="center"/>
        <w:rPr>
          <w:rFonts w:ascii="Times New Roman" w:eastAsia="Times New Roman" w:hAnsi="Times New Roman" w:cs="Times New Roman"/>
          <w:b/>
          <w:sz w:val="8"/>
          <w:szCs w:val="8"/>
        </w:rPr>
      </w:pPr>
    </w:p>
    <w:p w14:paraId="40DD2860" w14:textId="7F62D0B3" w:rsidR="002A2826" w:rsidRDefault="002A2826" w:rsidP="00C12A30">
      <w:pPr>
        <w:spacing w:after="0" w:line="240" w:lineRule="auto"/>
        <w:jc w:val="center"/>
        <w:rPr>
          <w:rFonts w:ascii="Times New Roman" w:eastAsia="Times New Roman" w:hAnsi="Times New Roman" w:cs="Times New Roman"/>
          <w:b/>
          <w:sz w:val="8"/>
          <w:szCs w:val="8"/>
        </w:rPr>
      </w:pPr>
    </w:p>
    <w:p w14:paraId="0CED5D77" w14:textId="09274A38" w:rsidR="002A2826" w:rsidRDefault="002A2826" w:rsidP="00C12A30">
      <w:pPr>
        <w:spacing w:after="0" w:line="240" w:lineRule="auto"/>
        <w:jc w:val="center"/>
        <w:rPr>
          <w:rFonts w:ascii="Times New Roman" w:eastAsia="Times New Roman" w:hAnsi="Times New Roman" w:cs="Times New Roman"/>
          <w:b/>
          <w:sz w:val="8"/>
          <w:szCs w:val="8"/>
        </w:rPr>
      </w:pPr>
    </w:p>
    <w:p w14:paraId="4356EB5C" w14:textId="77777777" w:rsidR="002A2826" w:rsidRPr="003A391D" w:rsidRDefault="002A2826" w:rsidP="00C12A30">
      <w:pPr>
        <w:spacing w:after="0" w:line="240" w:lineRule="auto"/>
        <w:jc w:val="center"/>
        <w:rPr>
          <w:rFonts w:ascii="Times New Roman" w:eastAsia="Times New Roman" w:hAnsi="Times New Roman" w:cs="Times New Roman"/>
          <w:b/>
          <w:sz w:val="8"/>
          <w:szCs w:val="8"/>
        </w:rPr>
      </w:pPr>
    </w:p>
    <w:p w14:paraId="1FA03483" w14:textId="788FF7EB" w:rsidR="00C12A30" w:rsidRDefault="00C12A30" w:rsidP="00C12A30">
      <w:pPr>
        <w:spacing w:after="0" w:line="240" w:lineRule="auto"/>
        <w:jc w:val="both"/>
        <w:rPr>
          <w:rFonts w:ascii="Times New Roman" w:eastAsia="Times New Roman" w:hAnsi="Times New Roman" w:cs="Times New Roman"/>
          <w:b/>
          <w:sz w:val="24"/>
          <w:szCs w:val="24"/>
        </w:rPr>
      </w:pPr>
      <w:r w:rsidRPr="00F24BDD">
        <w:rPr>
          <w:rFonts w:ascii="Times New Roman" w:eastAsia="Times New Roman" w:hAnsi="Times New Roman" w:cs="Times New Roman"/>
          <w:b/>
          <w:sz w:val="24"/>
          <w:szCs w:val="24"/>
        </w:rPr>
        <w:t>Dosar nr.</w:t>
      </w:r>
      <w:r>
        <w:rPr>
          <w:rFonts w:ascii="Times New Roman" w:eastAsia="Times New Roman" w:hAnsi="Times New Roman" w:cs="Times New Roman"/>
          <w:b/>
          <w:sz w:val="24"/>
          <w:szCs w:val="24"/>
        </w:rPr>
        <w:t>2842</w:t>
      </w:r>
      <w:r w:rsidRPr="00F24BDD">
        <w:rPr>
          <w:rFonts w:ascii="Times New Roman" w:eastAsia="Times New Roman" w:hAnsi="Times New Roman" w:cs="Times New Roman"/>
          <w:b/>
          <w:sz w:val="24"/>
          <w:szCs w:val="24"/>
        </w:rPr>
        <w:t>/110/201</w:t>
      </w:r>
      <w:r>
        <w:rPr>
          <w:rFonts w:ascii="Times New Roman" w:eastAsia="Times New Roman" w:hAnsi="Times New Roman" w:cs="Times New Roman"/>
          <w:b/>
          <w:sz w:val="24"/>
          <w:szCs w:val="24"/>
        </w:rPr>
        <w:t>9</w:t>
      </w:r>
    </w:p>
    <w:p w14:paraId="4626E7DC" w14:textId="5931AFAB" w:rsidR="002A2826" w:rsidRDefault="002A2826" w:rsidP="00C12A3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w:t>
      </w:r>
    </w:p>
    <w:p w14:paraId="622D216A" w14:textId="77777777" w:rsidR="002A2826" w:rsidRDefault="002A2826" w:rsidP="00C12A30">
      <w:pPr>
        <w:spacing w:after="0" w:line="240" w:lineRule="auto"/>
        <w:jc w:val="both"/>
        <w:rPr>
          <w:rFonts w:ascii="Times New Roman" w:eastAsia="Times New Roman" w:hAnsi="Times New Roman" w:cs="Times New Roman"/>
          <w:b/>
          <w:sz w:val="24"/>
          <w:szCs w:val="24"/>
        </w:rPr>
      </w:pPr>
    </w:p>
    <w:p w14:paraId="6CD762ED" w14:textId="1DFB037A" w:rsidR="002A2826" w:rsidRDefault="002A2826" w:rsidP="00C12A30">
      <w:pPr>
        <w:spacing w:after="0" w:line="240" w:lineRule="auto"/>
        <w:jc w:val="both"/>
        <w:rPr>
          <w:rFonts w:ascii="Times New Roman" w:eastAsia="Times New Roman" w:hAnsi="Times New Roman" w:cs="Times New Roman"/>
          <w:b/>
          <w:sz w:val="24"/>
          <w:szCs w:val="24"/>
        </w:rPr>
      </w:pPr>
    </w:p>
    <w:p w14:paraId="41C13005" w14:textId="77777777" w:rsidR="002A2826" w:rsidRPr="00F24BDD" w:rsidRDefault="002A2826" w:rsidP="00C12A30">
      <w:pPr>
        <w:spacing w:after="0" w:line="240" w:lineRule="auto"/>
        <w:jc w:val="both"/>
        <w:rPr>
          <w:rFonts w:ascii="Times New Roman" w:eastAsia="Times New Roman" w:hAnsi="Times New Roman" w:cs="Times New Roman"/>
          <w:b/>
          <w:sz w:val="24"/>
          <w:szCs w:val="24"/>
        </w:rPr>
      </w:pPr>
    </w:p>
    <w:p w14:paraId="600B5430" w14:textId="77777777" w:rsidR="00C12A30" w:rsidRPr="003A391D" w:rsidRDefault="00C12A30" w:rsidP="00C12A30">
      <w:pPr>
        <w:spacing w:after="0" w:line="240" w:lineRule="auto"/>
        <w:jc w:val="both"/>
        <w:rPr>
          <w:rFonts w:ascii="Times New Roman" w:eastAsia="Times New Roman" w:hAnsi="Times New Roman" w:cs="Times New Roman"/>
          <w:sz w:val="8"/>
          <w:szCs w:val="8"/>
        </w:rPr>
      </w:pPr>
    </w:p>
    <w:p w14:paraId="2DA9A408" w14:textId="7867C7BB" w:rsidR="00C12A30" w:rsidRDefault="00C12A30" w:rsidP="00C12A30">
      <w:pPr>
        <w:spacing w:after="0" w:line="23" w:lineRule="atLeast"/>
        <w:ind w:right="426" w:firstLine="720"/>
        <w:contextualSpacing/>
        <w:jc w:val="both"/>
        <w:rPr>
          <w:rFonts w:ascii="Times New Roman" w:eastAsia="Calibri" w:hAnsi="Times New Roman" w:cs="Times New Roman"/>
          <w:sz w:val="24"/>
          <w:szCs w:val="24"/>
        </w:rPr>
      </w:pPr>
      <w:r w:rsidRPr="00F24BDD">
        <w:rPr>
          <w:rFonts w:ascii="Times New Roman" w:eastAsia="Calibri" w:hAnsi="Times New Roman" w:cs="Times New Roman"/>
          <w:sz w:val="24"/>
          <w:szCs w:val="24"/>
        </w:rPr>
        <w:t xml:space="preserve">Subscrisa </w:t>
      </w:r>
      <w:proofErr w:type="spellStart"/>
      <w:r w:rsidR="002A2826">
        <w:rPr>
          <w:rFonts w:ascii="Times New Roman" w:eastAsia="Calibri" w:hAnsi="Times New Roman" w:cs="Times New Roman"/>
          <w:sz w:val="24"/>
          <w:szCs w:val="24"/>
        </w:rPr>
        <w:t>Scoala</w:t>
      </w:r>
      <w:proofErr w:type="spellEnd"/>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cu sediul în Municipiul </w:t>
      </w:r>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C.I.F. </w:t>
      </w:r>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reprezentată legal prin </w:t>
      </w:r>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prof. </w:t>
      </w:r>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w:t>
      </w:r>
      <w:r w:rsidR="002A2826">
        <w:rPr>
          <w:rFonts w:ascii="Times New Roman" w:eastAsia="Calibri" w:hAnsi="Times New Roman" w:cs="Times New Roman"/>
          <w:sz w:val="24"/>
          <w:szCs w:val="24"/>
        </w:rPr>
        <w:t xml:space="preserve"> numit prin Decizia......................., </w:t>
      </w:r>
      <w:proofErr w:type="spellStart"/>
      <w:r w:rsidR="002A2826">
        <w:rPr>
          <w:rFonts w:ascii="Times New Roman" w:eastAsia="Calibri" w:hAnsi="Times New Roman" w:cs="Times New Roman"/>
          <w:sz w:val="24"/>
          <w:szCs w:val="24"/>
        </w:rPr>
        <w:t>avand</w:t>
      </w:r>
      <w:proofErr w:type="spellEnd"/>
      <w:r w:rsidR="002A2826">
        <w:rPr>
          <w:rFonts w:ascii="Times New Roman" w:eastAsia="Calibri" w:hAnsi="Times New Roman" w:cs="Times New Roman"/>
          <w:sz w:val="24"/>
          <w:szCs w:val="24"/>
        </w:rPr>
        <w:t xml:space="preserve"> cont deschis la.........................nr. cont............................... in calitate de </w:t>
      </w:r>
      <w:r w:rsidRPr="00F24BDD">
        <w:rPr>
          <w:rFonts w:ascii="Times New Roman" w:eastAsia="Calibri" w:hAnsi="Times New Roman" w:cs="Times New Roman"/>
          <w:sz w:val="24"/>
          <w:szCs w:val="24"/>
        </w:rPr>
        <w:t>pârât în dosarul nr.</w:t>
      </w:r>
      <w:r w:rsidR="002A2826">
        <w:rPr>
          <w:rFonts w:ascii="Times New Roman" w:eastAsia="Calibri" w:hAnsi="Times New Roman" w:cs="Times New Roman"/>
          <w:sz w:val="24"/>
          <w:szCs w:val="24"/>
        </w:rPr>
        <w:t>.....................................</w:t>
      </w:r>
      <w:r w:rsidRPr="00F24BDD">
        <w:rPr>
          <w:rFonts w:ascii="Times New Roman" w:eastAsia="Calibri" w:hAnsi="Times New Roman" w:cs="Times New Roman"/>
          <w:sz w:val="24"/>
          <w:szCs w:val="24"/>
        </w:rPr>
        <w:t xml:space="preserve">, conform art. 205 </w:t>
      </w:r>
      <w:proofErr w:type="spellStart"/>
      <w:r w:rsidRPr="00F24BDD">
        <w:rPr>
          <w:rFonts w:ascii="Times New Roman" w:eastAsia="Calibri" w:hAnsi="Times New Roman" w:cs="Times New Roman"/>
          <w:sz w:val="24"/>
          <w:szCs w:val="24"/>
        </w:rPr>
        <w:t>şi</w:t>
      </w:r>
      <w:proofErr w:type="spellEnd"/>
      <w:r w:rsidRPr="00F24BDD">
        <w:rPr>
          <w:rFonts w:ascii="Times New Roman" w:eastAsia="Calibri" w:hAnsi="Times New Roman" w:cs="Times New Roman"/>
          <w:sz w:val="24"/>
          <w:szCs w:val="24"/>
        </w:rPr>
        <w:t xml:space="preserve"> următoarele din C</w:t>
      </w:r>
      <w:r>
        <w:rPr>
          <w:rFonts w:ascii="Times New Roman" w:eastAsia="Calibri" w:hAnsi="Times New Roman" w:cs="Times New Roman"/>
          <w:sz w:val="24"/>
          <w:szCs w:val="24"/>
        </w:rPr>
        <w:t xml:space="preserve">od </w:t>
      </w:r>
      <w:proofErr w:type="spellStart"/>
      <w:r>
        <w:rPr>
          <w:rFonts w:ascii="Times New Roman" w:eastAsia="Calibri" w:hAnsi="Times New Roman" w:cs="Times New Roman"/>
          <w:sz w:val="24"/>
          <w:szCs w:val="24"/>
        </w:rPr>
        <w:t>pr</w:t>
      </w:r>
      <w:proofErr w:type="spellEnd"/>
      <w:r>
        <w:rPr>
          <w:rFonts w:ascii="Times New Roman" w:eastAsia="Calibri" w:hAnsi="Times New Roman" w:cs="Times New Roman"/>
          <w:sz w:val="24"/>
          <w:szCs w:val="24"/>
        </w:rPr>
        <w:t xml:space="preserve"> civ</w:t>
      </w:r>
      <w:r w:rsidRPr="00F24BDD">
        <w:rPr>
          <w:rFonts w:ascii="Times New Roman" w:eastAsia="Calibri" w:hAnsi="Times New Roman" w:cs="Times New Roman"/>
          <w:sz w:val="24"/>
          <w:szCs w:val="24"/>
        </w:rPr>
        <w:t>, formulăm în termen legal,</w:t>
      </w:r>
    </w:p>
    <w:p w14:paraId="4066442C" w14:textId="77777777" w:rsidR="002A2826" w:rsidRPr="00F24BDD" w:rsidRDefault="002A2826" w:rsidP="00C12A30">
      <w:pPr>
        <w:spacing w:after="0" w:line="23" w:lineRule="atLeast"/>
        <w:ind w:right="426" w:firstLine="720"/>
        <w:contextualSpacing/>
        <w:jc w:val="both"/>
        <w:rPr>
          <w:rFonts w:ascii="Times New Roman" w:eastAsia="Calibri" w:hAnsi="Times New Roman" w:cs="Times New Roman"/>
          <w:sz w:val="24"/>
          <w:szCs w:val="24"/>
        </w:rPr>
      </w:pPr>
    </w:p>
    <w:p w14:paraId="6006A4A4" w14:textId="77777777" w:rsidR="00C12A30" w:rsidRPr="003A391D" w:rsidRDefault="00C12A30" w:rsidP="00C12A30">
      <w:pPr>
        <w:spacing w:after="0" w:line="23" w:lineRule="atLeast"/>
        <w:ind w:right="426" w:firstLine="720"/>
        <w:contextualSpacing/>
        <w:jc w:val="both"/>
        <w:rPr>
          <w:rFonts w:ascii="Times New Roman" w:eastAsia="Calibri" w:hAnsi="Times New Roman" w:cs="Times New Roman"/>
          <w:sz w:val="8"/>
          <w:szCs w:val="8"/>
        </w:rPr>
      </w:pPr>
    </w:p>
    <w:p w14:paraId="79E70A55" w14:textId="2E5233E9" w:rsidR="00C12A30" w:rsidRDefault="00C12A30" w:rsidP="00C12A30">
      <w:pPr>
        <w:spacing w:after="0" w:line="23" w:lineRule="atLeast"/>
        <w:ind w:right="426" w:firstLine="720"/>
        <w:contextualSpacing/>
        <w:jc w:val="center"/>
        <w:rPr>
          <w:rFonts w:ascii="Times New Roman" w:eastAsia="Calibri" w:hAnsi="Times New Roman" w:cs="Times New Roman"/>
          <w:b/>
          <w:sz w:val="24"/>
          <w:szCs w:val="24"/>
        </w:rPr>
      </w:pPr>
      <w:r w:rsidRPr="00F24BDD">
        <w:rPr>
          <w:rFonts w:ascii="Times New Roman" w:eastAsia="Calibri" w:hAnsi="Times New Roman" w:cs="Times New Roman"/>
          <w:b/>
          <w:sz w:val="24"/>
          <w:szCs w:val="24"/>
        </w:rPr>
        <w:t>ÎNTÂMPINARE,</w:t>
      </w:r>
    </w:p>
    <w:p w14:paraId="229E4903" w14:textId="77777777" w:rsidR="002A2826" w:rsidRDefault="002A2826" w:rsidP="00C12A30">
      <w:pPr>
        <w:spacing w:after="0" w:line="23" w:lineRule="atLeast"/>
        <w:ind w:right="426" w:firstLine="720"/>
        <w:contextualSpacing/>
        <w:jc w:val="center"/>
        <w:rPr>
          <w:rFonts w:ascii="Times New Roman" w:eastAsia="Calibri" w:hAnsi="Times New Roman" w:cs="Times New Roman"/>
          <w:b/>
          <w:sz w:val="24"/>
          <w:szCs w:val="24"/>
        </w:rPr>
      </w:pPr>
    </w:p>
    <w:p w14:paraId="716B4FF6" w14:textId="77777777" w:rsidR="002A2826" w:rsidRPr="00F24BDD" w:rsidRDefault="002A2826" w:rsidP="00C12A30">
      <w:pPr>
        <w:spacing w:after="0" w:line="23" w:lineRule="atLeast"/>
        <w:ind w:right="426" w:firstLine="720"/>
        <w:contextualSpacing/>
        <w:jc w:val="center"/>
        <w:rPr>
          <w:rFonts w:ascii="Times New Roman" w:eastAsia="Calibri" w:hAnsi="Times New Roman" w:cs="Times New Roman"/>
          <w:b/>
          <w:sz w:val="24"/>
          <w:szCs w:val="24"/>
        </w:rPr>
      </w:pPr>
    </w:p>
    <w:p w14:paraId="2F844828" w14:textId="77777777" w:rsidR="00C12A30" w:rsidRPr="003A391D" w:rsidRDefault="00C12A30" w:rsidP="00C12A30">
      <w:pPr>
        <w:spacing w:after="0" w:line="23" w:lineRule="atLeast"/>
        <w:ind w:right="426" w:firstLine="720"/>
        <w:contextualSpacing/>
        <w:jc w:val="center"/>
        <w:rPr>
          <w:rFonts w:ascii="Times New Roman" w:eastAsia="Calibri" w:hAnsi="Times New Roman" w:cs="Times New Roman"/>
          <w:b/>
          <w:sz w:val="8"/>
          <w:szCs w:val="8"/>
        </w:rPr>
      </w:pPr>
    </w:p>
    <w:p w14:paraId="00D0E1F4" w14:textId="75512659" w:rsidR="00C12A30" w:rsidRDefault="00C12A30" w:rsidP="00C12A30">
      <w:pPr>
        <w:spacing w:after="0" w:line="23" w:lineRule="atLeast"/>
        <w:ind w:righ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cererea de chemare în judecată a reclamanților - membri S</w:t>
      </w:r>
      <w:r w:rsidR="002A2826">
        <w:rPr>
          <w:rFonts w:ascii="Times New Roman" w:eastAsia="Calibri" w:hAnsi="Times New Roman" w:cs="Times New Roman"/>
          <w:sz w:val="24"/>
          <w:szCs w:val="24"/>
        </w:rPr>
        <w:t>IP/LSI Botoșani</w:t>
      </w:r>
      <w:r>
        <w:rPr>
          <w:rFonts w:ascii="Times New Roman" w:eastAsia="Calibri" w:hAnsi="Times New Roman" w:cs="Times New Roman"/>
          <w:sz w:val="24"/>
          <w:szCs w:val="24"/>
        </w:rPr>
        <w:t xml:space="preserve"> </w:t>
      </w:r>
      <w:r w:rsidRPr="00F24BDD">
        <w:rPr>
          <w:rFonts w:ascii="Times New Roman" w:eastAsia="Calibri" w:hAnsi="Times New Roman" w:cs="Times New Roman"/>
          <w:sz w:val="24"/>
          <w:szCs w:val="24"/>
        </w:rPr>
        <w:t xml:space="preserve">prin care </w:t>
      </w:r>
      <w:r>
        <w:rPr>
          <w:rFonts w:ascii="Times New Roman" w:eastAsia="Calibri" w:hAnsi="Times New Roman" w:cs="Times New Roman"/>
          <w:sz w:val="24"/>
          <w:szCs w:val="24"/>
        </w:rPr>
        <w:t xml:space="preserve">înțelegem să </w:t>
      </w:r>
      <w:r w:rsidRPr="00F24BDD">
        <w:rPr>
          <w:rFonts w:ascii="Times New Roman" w:eastAsia="Calibri" w:hAnsi="Times New Roman" w:cs="Times New Roman"/>
          <w:sz w:val="24"/>
          <w:szCs w:val="24"/>
        </w:rPr>
        <w:t xml:space="preserve">solicităm </w:t>
      </w:r>
      <w:r>
        <w:rPr>
          <w:rFonts w:ascii="Times New Roman" w:eastAsia="Calibri" w:hAnsi="Times New Roman" w:cs="Times New Roman"/>
          <w:sz w:val="24"/>
          <w:szCs w:val="24"/>
        </w:rPr>
        <w:t>respingerea acesteia ca nelegală și netemeinică pentru motivele dezvoltate mai jos</w:t>
      </w:r>
      <w:r w:rsidRPr="00F24BDD">
        <w:rPr>
          <w:rFonts w:ascii="Times New Roman" w:eastAsia="Calibri" w:hAnsi="Times New Roman" w:cs="Times New Roman"/>
          <w:sz w:val="24"/>
          <w:szCs w:val="24"/>
        </w:rPr>
        <w:t>:</w:t>
      </w:r>
    </w:p>
    <w:p w14:paraId="453912ED" w14:textId="77777777" w:rsidR="002A2826" w:rsidRDefault="002A2826" w:rsidP="00C12A30">
      <w:pPr>
        <w:spacing w:after="0" w:line="23" w:lineRule="atLeast"/>
        <w:ind w:right="426"/>
        <w:contextualSpacing/>
        <w:jc w:val="both"/>
        <w:rPr>
          <w:rFonts w:ascii="Times New Roman" w:eastAsia="Calibri" w:hAnsi="Times New Roman" w:cs="Times New Roman"/>
          <w:sz w:val="24"/>
          <w:szCs w:val="24"/>
        </w:rPr>
      </w:pPr>
    </w:p>
    <w:p w14:paraId="687902B0" w14:textId="77777777" w:rsidR="00C12A30" w:rsidRPr="003A391D" w:rsidRDefault="00C12A30" w:rsidP="00C12A30">
      <w:pPr>
        <w:spacing w:after="0" w:line="23" w:lineRule="atLeast"/>
        <w:ind w:right="-720"/>
        <w:contextualSpacing/>
        <w:rPr>
          <w:rFonts w:ascii="Times New Roman" w:eastAsia="Calibri" w:hAnsi="Times New Roman" w:cs="Times New Roman"/>
          <w:sz w:val="8"/>
          <w:szCs w:val="8"/>
        </w:rPr>
      </w:pPr>
    </w:p>
    <w:p w14:paraId="05690ADC" w14:textId="3997EBD5" w:rsidR="00C12A30" w:rsidRDefault="00C12A30" w:rsidP="00C12A30">
      <w:pPr>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Acordarea sporului pentru condiții de muncă vătămătoare se întemeiază pe </w:t>
      </w:r>
      <w:r w:rsidRPr="00431BC8">
        <w:rPr>
          <w:rFonts w:ascii="Times New Roman" w:eastAsia="Calibri" w:hAnsi="Times New Roman" w:cs="Times New Roman"/>
          <w:b/>
          <w:sz w:val="24"/>
          <w:szCs w:val="24"/>
        </w:rPr>
        <w:t>Leg</w:t>
      </w:r>
      <w:r>
        <w:rPr>
          <w:rFonts w:ascii="Times New Roman" w:eastAsia="Calibri" w:hAnsi="Times New Roman" w:cs="Times New Roman"/>
          <w:b/>
          <w:sz w:val="24"/>
          <w:szCs w:val="24"/>
        </w:rPr>
        <w:t>ea</w:t>
      </w:r>
      <w:r w:rsidRPr="00431BC8">
        <w:rPr>
          <w:rFonts w:ascii="Times New Roman" w:eastAsia="Calibri" w:hAnsi="Times New Roman" w:cs="Times New Roman"/>
          <w:b/>
          <w:sz w:val="24"/>
          <w:szCs w:val="24"/>
        </w:rPr>
        <w:t>-cadru nr.</w:t>
      </w:r>
      <w:r w:rsidR="002A2826">
        <w:rPr>
          <w:rFonts w:ascii="Times New Roman" w:eastAsia="Calibri" w:hAnsi="Times New Roman" w:cs="Times New Roman"/>
          <w:b/>
          <w:sz w:val="24"/>
          <w:szCs w:val="24"/>
        </w:rPr>
        <w:t xml:space="preserve"> </w:t>
      </w:r>
      <w:r w:rsidRPr="00431BC8">
        <w:rPr>
          <w:rFonts w:ascii="Times New Roman" w:eastAsia="Calibri" w:hAnsi="Times New Roman" w:cs="Times New Roman"/>
          <w:b/>
          <w:sz w:val="24"/>
          <w:szCs w:val="24"/>
        </w:rPr>
        <w:t>153/2017</w:t>
      </w:r>
      <w:r>
        <w:rPr>
          <w:rFonts w:ascii="Times New Roman" w:eastAsia="Calibri" w:hAnsi="Times New Roman" w:cs="Times New Roman"/>
          <w:b/>
          <w:sz w:val="24"/>
          <w:szCs w:val="24"/>
        </w:rPr>
        <w:t xml:space="preserve"> care reglementează acordarea acestuia </w:t>
      </w:r>
      <w:r w:rsidRPr="00462602">
        <w:rPr>
          <w:rFonts w:ascii="Times New Roman" w:eastAsia="Calibri" w:hAnsi="Times New Roman" w:cs="Times New Roman"/>
          <w:b/>
          <w:sz w:val="24"/>
          <w:szCs w:val="24"/>
          <w:u w:val="single"/>
        </w:rPr>
        <w:t>numai</w:t>
      </w:r>
      <w:r>
        <w:rPr>
          <w:rFonts w:ascii="Times New Roman" w:eastAsia="Calibri" w:hAnsi="Times New Roman" w:cs="Times New Roman"/>
          <w:b/>
          <w:sz w:val="24"/>
          <w:szCs w:val="24"/>
        </w:rPr>
        <w:t xml:space="preserve"> în condițiile stabilite de regulamentul elaborat de ministere și aprobat prin hotărâre de guvern.</w:t>
      </w:r>
      <w:r>
        <w:rPr>
          <w:rFonts w:ascii="Times New Roman" w:eastAsia="Calibri" w:hAnsi="Times New Roman" w:cs="Times New Roman"/>
          <w:sz w:val="24"/>
          <w:szCs w:val="24"/>
        </w:rPr>
        <w:t xml:space="preserve"> </w:t>
      </w:r>
    </w:p>
    <w:p w14:paraId="29D24E99" w14:textId="77777777" w:rsidR="00C12A30" w:rsidRPr="003A391D" w:rsidRDefault="00C12A30" w:rsidP="00C12A30">
      <w:pPr>
        <w:spacing w:after="0" w:line="240" w:lineRule="auto"/>
        <w:jc w:val="both"/>
        <w:rPr>
          <w:rFonts w:ascii="Times New Roman" w:eastAsia="Times New Roman" w:hAnsi="Times New Roman" w:cs="Times New Roman"/>
          <w:sz w:val="8"/>
          <w:szCs w:val="8"/>
          <w:lang w:eastAsia="ro-RO"/>
        </w:rPr>
      </w:pPr>
    </w:p>
    <w:p w14:paraId="041E11A9" w14:textId="77777777" w:rsidR="00C12A30" w:rsidRPr="00F27A39" w:rsidRDefault="00C12A30" w:rsidP="00C12A30">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sz w:val="24"/>
          <w:szCs w:val="24"/>
          <w:lang w:eastAsia="ro-RO"/>
        </w:rPr>
        <w:t>”</w:t>
      </w:r>
      <w:r w:rsidRPr="00F27A39">
        <w:rPr>
          <w:rFonts w:ascii="Times New Roman" w:eastAsia="Times New Roman" w:hAnsi="Times New Roman" w:cs="Times New Roman"/>
          <w:i/>
          <w:sz w:val="24"/>
          <w:szCs w:val="24"/>
          <w:lang w:eastAsia="ro-RO"/>
        </w:rPr>
        <w:t xml:space="preserve">Sporul pentru </w:t>
      </w:r>
      <w:proofErr w:type="spellStart"/>
      <w:r w:rsidRPr="00F27A39">
        <w:rPr>
          <w:rFonts w:ascii="Times New Roman" w:eastAsia="Times New Roman" w:hAnsi="Times New Roman" w:cs="Times New Roman"/>
          <w:i/>
          <w:sz w:val="24"/>
          <w:szCs w:val="24"/>
          <w:lang w:eastAsia="ro-RO"/>
        </w:rPr>
        <w:t>condiţii</w:t>
      </w:r>
      <w:proofErr w:type="spellEnd"/>
      <w:r w:rsidRPr="00F27A39">
        <w:rPr>
          <w:rFonts w:ascii="Times New Roman" w:eastAsia="Times New Roman" w:hAnsi="Times New Roman" w:cs="Times New Roman"/>
          <w:i/>
          <w:sz w:val="24"/>
          <w:szCs w:val="24"/>
          <w:lang w:eastAsia="ro-RO"/>
        </w:rPr>
        <w:t xml:space="preserve"> de muncă </w:t>
      </w:r>
    </w:p>
    <w:p w14:paraId="10983E37" w14:textId="77777777" w:rsidR="00C12A30" w:rsidRPr="00F27A39" w:rsidRDefault="00C12A30" w:rsidP="00C12A30">
      <w:pPr>
        <w:spacing w:after="0" w:line="240" w:lineRule="auto"/>
        <w:jc w:val="both"/>
        <w:rPr>
          <w:rFonts w:ascii="Times New Roman" w:eastAsia="Times New Roman" w:hAnsi="Times New Roman" w:cs="Times New Roman"/>
          <w:sz w:val="24"/>
          <w:szCs w:val="24"/>
          <w:lang w:eastAsia="ro-RO"/>
        </w:rPr>
      </w:pPr>
      <w:bookmarkStart w:id="0" w:name="23"/>
      <w:bookmarkEnd w:id="0"/>
      <w:r w:rsidRPr="00F27A39">
        <w:rPr>
          <w:rFonts w:ascii="Times New Roman" w:eastAsia="Times New Roman" w:hAnsi="Times New Roman" w:cs="Times New Roman"/>
          <w:b/>
          <w:bCs/>
          <w:i/>
          <w:sz w:val="24"/>
          <w:szCs w:val="24"/>
          <w:lang w:eastAsia="ro-RO"/>
        </w:rPr>
        <w:t>Art. 23.</w:t>
      </w:r>
      <w:r w:rsidRPr="00F27A39">
        <w:rPr>
          <w:rFonts w:ascii="Times New Roman" w:eastAsia="Times New Roman" w:hAnsi="Times New Roman" w:cs="Times New Roman"/>
          <w:i/>
          <w:sz w:val="24"/>
          <w:szCs w:val="24"/>
          <w:lang w:eastAsia="ro-RO"/>
        </w:rPr>
        <w:t xml:space="preserve"> - </w:t>
      </w:r>
      <w:r w:rsidRPr="00F27A39">
        <w:rPr>
          <w:rFonts w:ascii="Times New Roman" w:eastAsia="Times New Roman" w:hAnsi="Times New Roman" w:cs="Times New Roman"/>
          <w:b/>
          <w:i/>
          <w:sz w:val="24"/>
          <w:szCs w:val="24"/>
          <w:u w:val="single"/>
          <w:lang w:eastAsia="ro-RO"/>
        </w:rPr>
        <w:t xml:space="preserve">Locurile de muncă </w:t>
      </w:r>
      <w:proofErr w:type="spellStart"/>
      <w:r w:rsidRPr="00F27A39">
        <w:rPr>
          <w:rFonts w:ascii="Times New Roman" w:eastAsia="Times New Roman" w:hAnsi="Times New Roman" w:cs="Times New Roman"/>
          <w:b/>
          <w:i/>
          <w:sz w:val="24"/>
          <w:szCs w:val="24"/>
          <w:u w:val="single"/>
          <w:lang w:eastAsia="ro-RO"/>
        </w:rPr>
        <w:t>şi</w:t>
      </w:r>
      <w:proofErr w:type="spellEnd"/>
      <w:r w:rsidRPr="00F27A39">
        <w:rPr>
          <w:rFonts w:ascii="Times New Roman" w:eastAsia="Times New Roman" w:hAnsi="Times New Roman" w:cs="Times New Roman"/>
          <w:b/>
          <w:i/>
          <w:sz w:val="24"/>
          <w:szCs w:val="24"/>
          <w:u w:val="single"/>
          <w:lang w:eastAsia="ro-RO"/>
        </w:rPr>
        <w:t xml:space="preserve"> categoriile de personal, precum </w:t>
      </w:r>
      <w:proofErr w:type="spellStart"/>
      <w:r w:rsidRPr="00F27A39">
        <w:rPr>
          <w:rFonts w:ascii="Times New Roman" w:eastAsia="Times New Roman" w:hAnsi="Times New Roman" w:cs="Times New Roman"/>
          <w:b/>
          <w:i/>
          <w:sz w:val="24"/>
          <w:szCs w:val="24"/>
          <w:u w:val="single"/>
          <w:lang w:eastAsia="ro-RO"/>
        </w:rPr>
        <w:t>şi</w:t>
      </w:r>
      <w:proofErr w:type="spellEnd"/>
      <w:r w:rsidRPr="00F27A39">
        <w:rPr>
          <w:rFonts w:ascii="Times New Roman" w:eastAsia="Times New Roman" w:hAnsi="Times New Roman" w:cs="Times New Roman"/>
          <w:b/>
          <w:i/>
          <w:sz w:val="24"/>
          <w:szCs w:val="24"/>
          <w:u w:val="single"/>
          <w:lang w:eastAsia="ro-RO"/>
        </w:rPr>
        <w:t xml:space="preserve"> mărimea concretă a sporului</w:t>
      </w:r>
      <w:r w:rsidRPr="00F27A39">
        <w:rPr>
          <w:rFonts w:ascii="Times New Roman" w:eastAsia="Times New Roman" w:hAnsi="Times New Roman" w:cs="Times New Roman"/>
          <w:i/>
          <w:sz w:val="24"/>
          <w:szCs w:val="24"/>
          <w:lang w:eastAsia="ro-RO"/>
        </w:rPr>
        <w:t xml:space="preserve"> pentru </w:t>
      </w:r>
      <w:proofErr w:type="spellStart"/>
      <w:r w:rsidRPr="00F27A39">
        <w:rPr>
          <w:rFonts w:ascii="Times New Roman" w:eastAsia="Times New Roman" w:hAnsi="Times New Roman" w:cs="Times New Roman"/>
          <w:i/>
          <w:sz w:val="24"/>
          <w:szCs w:val="24"/>
          <w:lang w:eastAsia="ro-RO"/>
        </w:rPr>
        <w:t>condiţii</w:t>
      </w:r>
      <w:proofErr w:type="spellEnd"/>
      <w:r w:rsidRPr="00F27A39">
        <w:rPr>
          <w:rFonts w:ascii="Times New Roman" w:eastAsia="Times New Roman" w:hAnsi="Times New Roman" w:cs="Times New Roman"/>
          <w:i/>
          <w:sz w:val="24"/>
          <w:szCs w:val="24"/>
          <w:lang w:eastAsia="ro-RO"/>
        </w:rPr>
        <w:t xml:space="preserve"> de muncă prevăzut în </w:t>
      </w:r>
      <w:hyperlink r:id="rId7" w:anchor="SUMAR" w:history="1">
        <w:r w:rsidRPr="00F27A39">
          <w:rPr>
            <w:rFonts w:ascii="Times New Roman" w:eastAsia="Times New Roman" w:hAnsi="Times New Roman" w:cs="Times New Roman"/>
            <w:i/>
            <w:color w:val="0000FF"/>
            <w:sz w:val="24"/>
            <w:szCs w:val="24"/>
            <w:u w:val="single"/>
            <w:lang w:eastAsia="ro-RO"/>
          </w:rPr>
          <w:t>anexele nr. I - VIII</w:t>
        </w:r>
      </w:hyperlink>
      <w:r w:rsidRPr="00F27A39">
        <w:rPr>
          <w:rFonts w:ascii="Times New Roman" w:eastAsia="Times New Roman" w:hAnsi="Times New Roman" w:cs="Times New Roman"/>
          <w:i/>
          <w:sz w:val="24"/>
          <w:szCs w:val="24"/>
          <w:lang w:eastAsia="ro-RO"/>
        </w:rPr>
        <w:t xml:space="preserve"> </w:t>
      </w:r>
      <w:proofErr w:type="spellStart"/>
      <w:r w:rsidRPr="00F27A39">
        <w:rPr>
          <w:rFonts w:ascii="Times New Roman" w:eastAsia="Times New Roman" w:hAnsi="Times New Roman" w:cs="Times New Roman"/>
          <w:b/>
          <w:i/>
          <w:sz w:val="24"/>
          <w:szCs w:val="24"/>
          <w:u w:val="single"/>
          <w:lang w:eastAsia="ro-RO"/>
        </w:rPr>
        <w:t>şi</w:t>
      </w:r>
      <w:proofErr w:type="spellEnd"/>
      <w:r w:rsidRPr="00F27A39">
        <w:rPr>
          <w:rFonts w:ascii="Times New Roman" w:eastAsia="Times New Roman" w:hAnsi="Times New Roman" w:cs="Times New Roman"/>
          <w:b/>
          <w:i/>
          <w:sz w:val="24"/>
          <w:szCs w:val="24"/>
          <w:u w:val="single"/>
          <w:lang w:eastAsia="ro-RO"/>
        </w:rPr>
        <w:t xml:space="preserve"> </w:t>
      </w:r>
      <w:proofErr w:type="spellStart"/>
      <w:r w:rsidRPr="00462602">
        <w:rPr>
          <w:rFonts w:ascii="Times New Roman" w:eastAsia="Times New Roman" w:hAnsi="Times New Roman" w:cs="Times New Roman"/>
          <w:b/>
          <w:i/>
          <w:sz w:val="28"/>
          <w:szCs w:val="28"/>
          <w:u w:val="single"/>
          <w:lang w:eastAsia="ro-RO"/>
        </w:rPr>
        <w:t>condiţiile</w:t>
      </w:r>
      <w:proofErr w:type="spellEnd"/>
      <w:r w:rsidRPr="00462602">
        <w:rPr>
          <w:rFonts w:ascii="Times New Roman" w:eastAsia="Times New Roman" w:hAnsi="Times New Roman" w:cs="Times New Roman"/>
          <w:b/>
          <w:i/>
          <w:sz w:val="28"/>
          <w:szCs w:val="28"/>
          <w:u w:val="single"/>
          <w:lang w:eastAsia="ro-RO"/>
        </w:rPr>
        <w:t xml:space="preserve"> de acordare</w:t>
      </w:r>
      <w:r w:rsidRPr="00F27A39">
        <w:rPr>
          <w:rFonts w:ascii="Times New Roman" w:eastAsia="Times New Roman" w:hAnsi="Times New Roman" w:cs="Times New Roman"/>
          <w:b/>
          <w:i/>
          <w:sz w:val="24"/>
          <w:szCs w:val="24"/>
          <w:u w:val="single"/>
          <w:lang w:eastAsia="ro-RO"/>
        </w:rPr>
        <w:t xml:space="preserve"> </w:t>
      </w:r>
      <w:r w:rsidRPr="00F27A39">
        <w:rPr>
          <w:rFonts w:ascii="Times New Roman" w:eastAsia="Times New Roman" w:hAnsi="Times New Roman" w:cs="Times New Roman"/>
          <w:i/>
          <w:sz w:val="24"/>
          <w:szCs w:val="24"/>
          <w:lang w:eastAsia="ro-RO"/>
        </w:rPr>
        <w:t xml:space="preserve">a acestuia </w:t>
      </w:r>
      <w:r w:rsidRPr="00F27A39">
        <w:rPr>
          <w:rFonts w:ascii="Times New Roman" w:eastAsia="Times New Roman" w:hAnsi="Times New Roman" w:cs="Times New Roman"/>
          <w:b/>
          <w:i/>
          <w:sz w:val="24"/>
          <w:szCs w:val="24"/>
          <w:u w:val="single"/>
          <w:lang w:eastAsia="ro-RO"/>
        </w:rPr>
        <w:t>se stabilesc</w:t>
      </w:r>
      <w:r w:rsidRPr="00F27A39">
        <w:rPr>
          <w:rFonts w:ascii="Times New Roman" w:eastAsia="Times New Roman" w:hAnsi="Times New Roman" w:cs="Times New Roman"/>
          <w:i/>
          <w:sz w:val="24"/>
          <w:szCs w:val="24"/>
          <w:lang w:eastAsia="ro-RO"/>
        </w:rPr>
        <w:t xml:space="preserve">, în cel mult 60 de zile de la publicarea prezentei legi în Monitorul Oficial al României, Partea I, </w:t>
      </w:r>
      <w:r w:rsidRPr="00F27A39">
        <w:rPr>
          <w:rFonts w:ascii="Times New Roman" w:eastAsia="Times New Roman" w:hAnsi="Times New Roman" w:cs="Times New Roman"/>
          <w:b/>
          <w:i/>
          <w:sz w:val="24"/>
          <w:szCs w:val="24"/>
          <w:u w:val="single"/>
          <w:lang w:eastAsia="ro-RO"/>
        </w:rPr>
        <w:t>prin regulament - cadru elaborat de către fiecare dintre ministerele</w:t>
      </w:r>
      <w:r w:rsidRPr="00F27A39">
        <w:rPr>
          <w:rFonts w:ascii="Times New Roman" w:eastAsia="Times New Roman" w:hAnsi="Times New Roman" w:cs="Times New Roman"/>
          <w:i/>
          <w:sz w:val="24"/>
          <w:szCs w:val="24"/>
          <w:lang w:eastAsia="ro-RO"/>
        </w:rPr>
        <w:t xml:space="preserve"> coordonatoare ale celor 6 domenii de activitate bugetară, respectiv </w:t>
      </w:r>
      <w:proofErr w:type="spellStart"/>
      <w:r w:rsidRPr="00F27A39">
        <w:rPr>
          <w:rFonts w:ascii="Times New Roman" w:eastAsia="Times New Roman" w:hAnsi="Times New Roman" w:cs="Times New Roman"/>
          <w:i/>
          <w:sz w:val="24"/>
          <w:szCs w:val="24"/>
          <w:u w:val="single"/>
          <w:lang w:eastAsia="ro-RO"/>
        </w:rPr>
        <w:t>învăţământ</w:t>
      </w:r>
      <w:proofErr w:type="spellEnd"/>
      <w:r w:rsidRPr="00F27A39">
        <w:rPr>
          <w:rFonts w:ascii="Times New Roman" w:eastAsia="Times New Roman" w:hAnsi="Times New Roman" w:cs="Times New Roman"/>
          <w:i/>
          <w:sz w:val="24"/>
          <w:szCs w:val="24"/>
          <w:u w:val="single"/>
          <w:lang w:eastAsia="ro-RO"/>
        </w:rPr>
        <w:t>,</w:t>
      </w:r>
      <w:r w:rsidRPr="00F27A39">
        <w:rPr>
          <w:rFonts w:ascii="Times New Roman" w:eastAsia="Times New Roman" w:hAnsi="Times New Roman" w:cs="Times New Roman"/>
          <w:i/>
          <w:sz w:val="24"/>
          <w:szCs w:val="24"/>
          <w:lang w:eastAsia="ro-RO"/>
        </w:rPr>
        <w:t xml:space="preserve"> sănătate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w:t>
      </w:r>
      <w:proofErr w:type="spellStart"/>
      <w:r w:rsidRPr="00F27A39">
        <w:rPr>
          <w:rFonts w:ascii="Times New Roman" w:eastAsia="Times New Roman" w:hAnsi="Times New Roman" w:cs="Times New Roman"/>
          <w:i/>
          <w:sz w:val="24"/>
          <w:szCs w:val="24"/>
          <w:lang w:eastAsia="ro-RO"/>
        </w:rPr>
        <w:t>asistenţă</w:t>
      </w:r>
      <w:proofErr w:type="spellEnd"/>
      <w:r w:rsidRPr="00F27A39">
        <w:rPr>
          <w:rFonts w:ascii="Times New Roman" w:eastAsia="Times New Roman" w:hAnsi="Times New Roman" w:cs="Times New Roman"/>
          <w:i/>
          <w:sz w:val="24"/>
          <w:szCs w:val="24"/>
          <w:lang w:eastAsia="ro-RO"/>
        </w:rPr>
        <w:t xml:space="preserve"> socială, cultură, </w:t>
      </w:r>
      <w:proofErr w:type="spellStart"/>
      <w:r w:rsidRPr="00F27A39">
        <w:rPr>
          <w:rFonts w:ascii="Times New Roman" w:eastAsia="Times New Roman" w:hAnsi="Times New Roman" w:cs="Times New Roman"/>
          <w:i/>
          <w:sz w:val="24"/>
          <w:szCs w:val="24"/>
          <w:lang w:eastAsia="ro-RO"/>
        </w:rPr>
        <w:t>diplomaţie</w:t>
      </w:r>
      <w:proofErr w:type="spellEnd"/>
      <w:r w:rsidRPr="00F27A39">
        <w:rPr>
          <w:rFonts w:ascii="Times New Roman" w:eastAsia="Times New Roman" w:hAnsi="Times New Roman" w:cs="Times New Roman"/>
          <w:i/>
          <w:sz w:val="24"/>
          <w:szCs w:val="24"/>
          <w:lang w:eastAsia="ro-RO"/>
        </w:rPr>
        <w:t xml:space="preserve">, </w:t>
      </w:r>
      <w:proofErr w:type="spellStart"/>
      <w:r w:rsidRPr="00F27A39">
        <w:rPr>
          <w:rFonts w:ascii="Times New Roman" w:eastAsia="Times New Roman" w:hAnsi="Times New Roman" w:cs="Times New Roman"/>
          <w:i/>
          <w:sz w:val="24"/>
          <w:szCs w:val="24"/>
          <w:lang w:eastAsia="ro-RO"/>
        </w:rPr>
        <w:t>justiţie</w:t>
      </w:r>
      <w:proofErr w:type="spellEnd"/>
      <w:r w:rsidRPr="00F27A39">
        <w:rPr>
          <w:rFonts w:ascii="Times New Roman" w:eastAsia="Times New Roman" w:hAnsi="Times New Roman" w:cs="Times New Roman"/>
          <w:i/>
          <w:sz w:val="24"/>
          <w:szCs w:val="24"/>
          <w:lang w:eastAsia="ro-RO"/>
        </w:rPr>
        <w:t xml:space="preserve">, </w:t>
      </w:r>
      <w:proofErr w:type="spellStart"/>
      <w:r w:rsidRPr="00F27A39">
        <w:rPr>
          <w:rFonts w:ascii="Times New Roman" w:eastAsia="Times New Roman" w:hAnsi="Times New Roman" w:cs="Times New Roman"/>
          <w:i/>
          <w:sz w:val="24"/>
          <w:szCs w:val="24"/>
          <w:lang w:eastAsia="ro-RO"/>
        </w:rPr>
        <w:t>administraţie</w:t>
      </w:r>
      <w:proofErr w:type="spellEnd"/>
      <w:r w:rsidRPr="00F27A39">
        <w:rPr>
          <w:rFonts w:ascii="Times New Roman" w:eastAsia="Times New Roman" w:hAnsi="Times New Roman" w:cs="Times New Roman"/>
          <w:i/>
          <w:sz w:val="24"/>
          <w:szCs w:val="24"/>
          <w:lang w:eastAsia="ro-RO"/>
        </w:rPr>
        <w:t xml:space="preserve">, de către </w:t>
      </w:r>
      <w:proofErr w:type="spellStart"/>
      <w:r w:rsidRPr="00F27A39">
        <w:rPr>
          <w:rFonts w:ascii="Times New Roman" w:eastAsia="Times New Roman" w:hAnsi="Times New Roman" w:cs="Times New Roman"/>
          <w:i/>
          <w:sz w:val="24"/>
          <w:szCs w:val="24"/>
          <w:lang w:eastAsia="ro-RO"/>
        </w:rPr>
        <w:t>instituţiile</w:t>
      </w:r>
      <w:proofErr w:type="spellEnd"/>
      <w:r w:rsidRPr="00F27A39">
        <w:rPr>
          <w:rFonts w:ascii="Times New Roman" w:eastAsia="Times New Roman" w:hAnsi="Times New Roman" w:cs="Times New Roman"/>
          <w:i/>
          <w:sz w:val="24"/>
          <w:szCs w:val="24"/>
          <w:lang w:eastAsia="ro-RO"/>
        </w:rPr>
        <w:t xml:space="preserve"> de apărare, ordine publică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securitate </w:t>
      </w:r>
      <w:proofErr w:type="spellStart"/>
      <w:r w:rsidRPr="00F27A39">
        <w:rPr>
          <w:rFonts w:ascii="Times New Roman" w:eastAsia="Times New Roman" w:hAnsi="Times New Roman" w:cs="Times New Roman"/>
          <w:i/>
          <w:sz w:val="24"/>
          <w:szCs w:val="24"/>
          <w:lang w:eastAsia="ro-RO"/>
        </w:rPr>
        <w:t>naţională</w:t>
      </w:r>
      <w:proofErr w:type="spellEnd"/>
      <w:r w:rsidRPr="00F27A39">
        <w:rPr>
          <w:rFonts w:ascii="Times New Roman" w:eastAsia="Times New Roman" w:hAnsi="Times New Roman" w:cs="Times New Roman"/>
          <w:i/>
          <w:sz w:val="24"/>
          <w:szCs w:val="24"/>
          <w:lang w:eastAsia="ro-RO"/>
        </w:rPr>
        <w:t xml:space="preserve">, precum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de către </w:t>
      </w:r>
      <w:proofErr w:type="spellStart"/>
      <w:r w:rsidRPr="00F27A39">
        <w:rPr>
          <w:rFonts w:ascii="Times New Roman" w:eastAsia="Times New Roman" w:hAnsi="Times New Roman" w:cs="Times New Roman"/>
          <w:i/>
          <w:sz w:val="24"/>
          <w:szCs w:val="24"/>
          <w:lang w:eastAsia="ro-RO"/>
        </w:rPr>
        <w:t>autorităţile</w:t>
      </w:r>
      <w:proofErr w:type="spellEnd"/>
      <w:r w:rsidRPr="00F27A39">
        <w:rPr>
          <w:rFonts w:ascii="Times New Roman" w:eastAsia="Times New Roman" w:hAnsi="Times New Roman" w:cs="Times New Roman"/>
          <w:i/>
          <w:sz w:val="24"/>
          <w:szCs w:val="24"/>
          <w:lang w:eastAsia="ro-RO"/>
        </w:rPr>
        <w:t xml:space="preserve"> publice centrale autonome, </w:t>
      </w:r>
      <w:r w:rsidRPr="00F27A39">
        <w:rPr>
          <w:rFonts w:ascii="Times New Roman" w:eastAsia="Times New Roman" w:hAnsi="Times New Roman" w:cs="Times New Roman"/>
          <w:b/>
          <w:i/>
          <w:sz w:val="24"/>
          <w:szCs w:val="24"/>
          <w:u w:val="single"/>
          <w:lang w:eastAsia="ro-RO"/>
        </w:rPr>
        <w:t>care se aprobă prin hotărâre a Guvernului, la propunerea fiecăruia dintre ministerele coordonatoare,</w:t>
      </w:r>
      <w:r w:rsidRPr="00F27A39">
        <w:rPr>
          <w:rFonts w:ascii="Times New Roman" w:eastAsia="Times New Roman" w:hAnsi="Times New Roman" w:cs="Times New Roman"/>
          <w:i/>
          <w:sz w:val="24"/>
          <w:szCs w:val="24"/>
          <w:lang w:eastAsia="ro-RO"/>
        </w:rPr>
        <w:t xml:space="preserve"> a fiecăreia dintre </w:t>
      </w:r>
      <w:proofErr w:type="spellStart"/>
      <w:r w:rsidRPr="00F27A39">
        <w:rPr>
          <w:rFonts w:ascii="Times New Roman" w:eastAsia="Times New Roman" w:hAnsi="Times New Roman" w:cs="Times New Roman"/>
          <w:i/>
          <w:sz w:val="24"/>
          <w:szCs w:val="24"/>
          <w:lang w:eastAsia="ro-RO"/>
        </w:rPr>
        <w:t>instituţiile</w:t>
      </w:r>
      <w:proofErr w:type="spellEnd"/>
      <w:r w:rsidRPr="00F27A39">
        <w:rPr>
          <w:rFonts w:ascii="Times New Roman" w:eastAsia="Times New Roman" w:hAnsi="Times New Roman" w:cs="Times New Roman"/>
          <w:i/>
          <w:sz w:val="24"/>
          <w:szCs w:val="24"/>
          <w:lang w:eastAsia="ro-RO"/>
        </w:rPr>
        <w:t xml:space="preserve"> de apărare, ordine publică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securitate </w:t>
      </w:r>
      <w:proofErr w:type="spellStart"/>
      <w:r w:rsidRPr="00F27A39">
        <w:rPr>
          <w:rFonts w:ascii="Times New Roman" w:eastAsia="Times New Roman" w:hAnsi="Times New Roman" w:cs="Times New Roman"/>
          <w:i/>
          <w:sz w:val="24"/>
          <w:szCs w:val="24"/>
          <w:lang w:eastAsia="ro-RO"/>
        </w:rPr>
        <w:t>naţională</w:t>
      </w:r>
      <w:proofErr w:type="spellEnd"/>
      <w:r w:rsidRPr="00F27A39">
        <w:rPr>
          <w:rFonts w:ascii="Times New Roman" w:eastAsia="Times New Roman" w:hAnsi="Times New Roman" w:cs="Times New Roman"/>
          <w:i/>
          <w:sz w:val="24"/>
          <w:szCs w:val="24"/>
          <w:lang w:eastAsia="ro-RO"/>
        </w:rPr>
        <w:t xml:space="preserve"> sau a fiecăreia dintre </w:t>
      </w:r>
      <w:proofErr w:type="spellStart"/>
      <w:r w:rsidRPr="00F27A39">
        <w:rPr>
          <w:rFonts w:ascii="Times New Roman" w:eastAsia="Times New Roman" w:hAnsi="Times New Roman" w:cs="Times New Roman"/>
          <w:i/>
          <w:sz w:val="24"/>
          <w:szCs w:val="24"/>
          <w:lang w:eastAsia="ro-RO"/>
        </w:rPr>
        <w:t>autorităţile</w:t>
      </w:r>
      <w:proofErr w:type="spellEnd"/>
      <w:r w:rsidRPr="00F27A39">
        <w:rPr>
          <w:rFonts w:ascii="Times New Roman" w:eastAsia="Times New Roman" w:hAnsi="Times New Roman" w:cs="Times New Roman"/>
          <w:i/>
          <w:sz w:val="24"/>
          <w:szCs w:val="24"/>
          <w:lang w:eastAsia="ro-RO"/>
        </w:rPr>
        <w:t xml:space="preserve"> publice centrale autonome, cu avizul Ministerului Muncii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w:t>
      </w:r>
      <w:proofErr w:type="spellStart"/>
      <w:r w:rsidRPr="00F27A39">
        <w:rPr>
          <w:rFonts w:ascii="Times New Roman" w:eastAsia="Times New Roman" w:hAnsi="Times New Roman" w:cs="Times New Roman"/>
          <w:i/>
          <w:sz w:val="24"/>
          <w:szCs w:val="24"/>
          <w:lang w:eastAsia="ro-RO"/>
        </w:rPr>
        <w:t>Justiţiei</w:t>
      </w:r>
      <w:proofErr w:type="spellEnd"/>
      <w:r w:rsidRPr="00F27A39">
        <w:rPr>
          <w:rFonts w:ascii="Times New Roman" w:eastAsia="Times New Roman" w:hAnsi="Times New Roman" w:cs="Times New Roman"/>
          <w:i/>
          <w:sz w:val="24"/>
          <w:szCs w:val="24"/>
          <w:lang w:eastAsia="ro-RO"/>
        </w:rPr>
        <w:t xml:space="preserve"> Sociale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al Ministerului </w:t>
      </w:r>
      <w:proofErr w:type="spellStart"/>
      <w:r w:rsidRPr="00F27A39">
        <w:rPr>
          <w:rFonts w:ascii="Times New Roman" w:eastAsia="Times New Roman" w:hAnsi="Times New Roman" w:cs="Times New Roman"/>
          <w:i/>
          <w:sz w:val="24"/>
          <w:szCs w:val="24"/>
          <w:lang w:eastAsia="ro-RO"/>
        </w:rPr>
        <w:t>Finanţelor</w:t>
      </w:r>
      <w:proofErr w:type="spellEnd"/>
      <w:r w:rsidRPr="00F27A39">
        <w:rPr>
          <w:rFonts w:ascii="Times New Roman" w:eastAsia="Times New Roman" w:hAnsi="Times New Roman" w:cs="Times New Roman"/>
          <w:i/>
          <w:sz w:val="24"/>
          <w:szCs w:val="24"/>
          <w:lang w:eastAsia="ro-RO"/>
        </w:rPr>
        <w:t xml:space="preserve"> Publice </w:t>
      </w:r>
      <w:proofErr w:type="spellStart"/>
      <w:r w:rsidRPr="00F27A39">
        <w:rPr>
          <w:rFonts w:ascii="Times New Roman" w:eastAsia="Times New Roman" w:hAnsi="Times New Roman" w:cs="Times New Roman"/>
          <w:i/>
          <w:sz w:val="24"/>
          <w:szCs w:val="24"/>
          <w:lang w:eastAsia="ro-RO"/>
        </w:rPr>
        <w:t>şi</w:t>
      </w:r>
      <w:proofErr w:type="spellEnd"/>
      <w:r w:rsidRPr="00F27A39">
        <w:rPr>
          <w:rFonts w:ascii="Times New Roman" w:eastAsia="Times New Roman" w:hAnsi="Times New Roman" w:cs="Times New Roman"/>
          <w:i/>
          <w:sz w:val="24"/>
          <w:szCs w:val="24"/>
          <w:lang w:eastAsia="ro-RO"/>
        </w:rPr>
        <w:t xml:space="preserve"> cu consultarea </w:t>
      </w:r>
      <w:proofErr w:type="spellStart"/>
      <w:r w:rsidRPr="00F27A39">
        <w:rPr>
          <w:rFonts w:ascii="Times New Roman" w:eastAsia="Times New Roman" w:hAnsi="Times New Roman" w:cs="Times New Roman"/>
          <w:i/>
          <w:sz w:val="24"/>
          <w:szCs w:val="24"/>
          <w:lang w:eastAsia="ro-RO"/>
        </w:rPr>
        <w:t>federaţiilor</w:t>
      </w:r>
      <w:proofErr w:type="spellEnd"/>
      <w:r w:rsidRPr="00F27A39">
        <w:rPr>
          <w:rFonts w:ascii="Times New Roman" w:eastAsia="Times New Roman" w:hAnsi="Times New Roman" w:cs="Times New Roman"/>
          <w:i/>
          <w:sz w:val="24"/>
          <w:szCs w:val="24"/>
          <w:lang w:eastAsia="ro-RO"/>
        </w:rPr>
        <w:t xml:space="preserve"> sindicale reprezentative domeniului de activitate</w:t>
      </w:r>
      <w:r w:rsidRPr="00F27A39">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p>
    <w:p w14:paraId="3B9771D6" w14:textId="77777777" w:rsidR="00C12A30" w:rsidRPr="003A391D" w:rsidRDefault="00C12A30" w:rsidP="00C12A30">
      <w:pPr>
        <w:spacing w:after="0" w:line="23" w:lineRule="atLeast"/>
        <w:jc w:val="both"/>
        <w:rPr>
          <w:rFonts w:ascii="Times New Roman" w:eastAsia="Calibri" w:hAnsi="Times New Roman" w:cs="Times New Roman"/>
          <w:sz w:val="8"/>
          <w:szCs w:val="8"/>
        </w:rPr>
      </w:pPr>
    </w:p>
    <w:p w14:paraId="3BF6FEE0" w14:textId="77777777" w:rsidR="00C12A30" w:rsidRPr="00431BC8" w:rsidRDefault="00C12A30" w:rsidP="00C12A30">
      <w:pPr>
        <w:spacing w:after="0" w:line="240" w:lineRule="auto"/>
        <w:rPr>
          <w:rFonts w:ascii="Times New Roman" w:eastAsia="Times New Roman" w:hAnsi="Times New Roman" w:cs="Times New Roman"/>
          <w:sz w:val="24"/>
          <w:szCs w:val="24"/>
          <w:lang w:eastAsia="ro-RO"/>
        </w:rPr>
      </w:pPr>
      <w:r w:rsidRPr="00431BC8">
        <w:rPr>
          <w:rFonts w:ascii="Times New Roman" w:eastAsia="Times New Roman" w:hAnsi="Times New Roman" w:cs="Times New Roman"/>
          <w:sz w:val="24"/>
          <w:szCs w:val="24"/>
          <w:lang w:eastAsia="ro-RO"/>
        </w:rPr>
        <w:t xml:space="preserve">Anexa nr.1, </w:t>
      </w:r>
      <w:proofErr w:type="spellStart"/>
      <w:r w:rsidRPr="00431BC8">
        <w:rPr>
          <w:rFonts w:ascii="Times New Roman" w:eastAsia="Times New Roman" w:hAnsi="Times New Roman" w:cs="Times New Roman"/>
          <w:sz w:val="24"/>
          <w:szCs w:val="24"/>
          <w:lang w:eastAsia="ro-RO"/>
        </w:rPr>
        <w:t>Cap.I</w:t>
      </w:r>
      <w:proofErr w:type="spellEnd"/>
      <w:r w:rsidRPr="00431BC8">
        <w:rPr>
          <w:rFonts w:ascii="Times New Roman" w:eastAsia="Times New Roman" w:hAnsi="Times New Roman" w:cs="Times New Roman"/>
          <w:sz w:val="24"/>
          <w:szCs w:val="24"/>
          <w:lang w:eastAsia="ro-RO"/>
        </w:rPr>
        <w:t xml:space="preserve">, NOTA de la pct.6, </w:t>
      </w:r>
    </w:p>
    <w:p w14:paraId="0D9CB2F1" w14:textId="77777777" w:rsidR="00C12A30" w:rsidRPr="00431BC8" w:rsidRDefault="00C12A30" w:rsidP="00C12A30">
      <w:pPr>
        <w:spacing w:after="0" w:line="240" w:lineRule="auto"/>
        <w:rPr>
          <w:rFonts w:ascii="Times New Roman" w:eastAsia="Times New Roman" w:hAnsi="Times New Roman" w:cs="Times New Roman"/>
          <w:sz w:val="24"/>
          <w:szCs w:val="24"/>
          <w:lang w:eastAsia="ro-RO"/>
        </w:rPr>
      </w:pPr>
      <w:r w:rsidRPr="00431BC8">
        <w:rPr>
          <w:rFonts w:ascii="Times New Roman" w:eastAsia="Times New Roman" w:hAnsi="Times New Roman" w:cs="Times New Roman"/>
          <w:b/>
          <w:bCs/>
          <w:sz w:val="24"/>
          <w:szCs w:val="24"/>
          <w:lang w:eastAsia="ro-RO"/>
        </w:rPr>
        <w:t xml:space="preserve">B. Reglementări specifice personalului didactic din </w:t>
      </w:r>
      <w:proofErr w:type="spellStart"/>
      <w:r w:rsidRPr="00431BC8">
        <w:rPr>
          <w:rFonts w:ascii="Times New Roman" w:eastAsia="Times New Roman" w:hAnsi="Times New Roman" w:cs="Times New Roman"/>
          <w:b/>
          <w:bCs/>
          <w:sz w:val="24"/>
          <w:szCs w:val="24"/>
          <w:lang w:eastAsia="ro-RO"/>
        </w:rPr>
        <w:t>învăţământ</w:t>
      </w:r>
      <w:proofErr w:type="spellEnd"/>
      <w:r w:rsidRPr="00431BC8">
        <w:rPr>
          <w:rFonts w:ascii="Times New Roman" w:eastAsia="Times New Roman" w:hAnsi="Times New Roman" w:cs="Times New Roman"/>
          <w:sz w:val="24"/>
          <w:szCs w:val="24"/>
          <w:lang w:eastAsia="ro-RO"/>
        </w:rPr>
        <w:t xml:space="preserve"> </w:t>
      </w:r>
    </w:p>
    <w:p w14:paraId="4F8979AD" w14:textId="77777777" w:rsidR="00C12A30" w:rsidRPr="00431BC8" w:rsidRDefault="00C12A30" w:rsidP="00C12A30">
      <w:pPr>
        <w:spacing w:after="0" w:line="240" w:lineRule="auto"/>
        <w:jc w:val="both"/>
        <w:rPr>
          <w:rFonts w:ascii="Times New Roman" w:eastAsia="Calibri" w:hAnsi="Times New Roman" w:cs="Times New Roman"/>
          <w:i/>
          <w:sz w:val="24"/>
          <w:szCs w:val="24"/>
        </w:rPr>
      </w:pPr>
      <w:r>
        <w:rPr>
          <w:rFonts w:ascii="Times New Roman" w:hAnsi="Times New Roman" w:cs="Times New Roman"/>
          <w:sz w:val="24"/>
          <w:szCs w:val="24"/>
        </w:rPr>
        <w:t>”</w:t>
      </w:r>
      <w:r w:rsidRPr="00431BC8">
        <w:rPr>
          <w:rFonts w:ascii="Times New Roman" w:hAnsi="Times New Roman" w:cs="Times New Roman"/>
          <w:i/>
          <w:sz w:val="24"/>
          <w:szCs w:val="24"/>
        </w:rPr>
        <w:t xml:space="preserve">Art. 13. - </w:t>
      </w:r>
      <w:r w:rsidRPr="00431BC8">
        <w:rPr>
          <w:rFonts w:ascii="Times New Roman" w:hAnsi="Times New Roman" w:cs="Times New Roman"/>
          <w:i/>
          <w:color w:val="CC0099"/>
          <w:sz w:val="24"/>
          <w:szCs w:val="24"/>
        </w:rPr>
        <w:t>(1)</w:t>
      </w:r>
      <w:r w:rsidRPr="00431BC8">
        <w:rPr>
          <w:rFonts w:ascii="Times New Roman" w:hAnsi="Times New Roman" w:cs="Times New Roman"/>
          <w:i/>
          <w:sz w:val="24"/>
          <w:szCs w:val="24"/>
        </w:rPr>
        <w:t xml:space="preserve"> În raport cu </w:t>
      </w:r>
      <w:proofErr w:type="spellStart"/>
      <w:r w:rsidRPr="00431BC8">
        <w:rPr>
          <w:rFonts w:ascii="Times New Roman" w:hAnsi="Times New Roman" w:cs="Times New Roman"/>
          <w:i/>
          <w:sz w:val="24"/>
          <w:szCs w:val="24"/>
        </w:rPr>
        <w:t>condiţiile</w:t>
      </w:r>
      <w:proofErr w:type="spellEnd"/>
      <w:r w:rsidRPr="00431BC8">
        <w:rPr>
          <w:rFonts w:ascii="Times New Roman" w:hAnsi="Times New Roman" w:cs="Times New Roman"/>
          <w:i/>
          <w:sz w:val="24"/>
          <w:szCs w:val="24"/>
        </w:rPr>
        <w:t xml:space="preserve"> de muncă în care se </w:t>
      </w:r>
      <w:proofErr w:type="spellStart"/>
      <w:r w:rsidRPr="00431BC8">
        <w:rPr>
          <w:rFonts w:ascii="Times New Roman" w:hAnsi="Times New Roman" w:cs="Times New Roman"/>
          <w:i/>
          <w:sz w:val="24"/>
          <w:szCs w:val="24"/>
        </w:rPr>
        <w:t>desfăşoară</w:t>
      </w:r>
      <w:proofErr w:type="spellEnd"/>
      <w:r w:rsidRPr="00431BC8">
        <w:rPr>
          <w:rFonts w:ascii="Times New Roman" w:hAnsi="Times New Roman" w:cs="Times New Roman"/>
          <w:i/>
          <w:sz w:val="24"/>
          <w:szCs w:val="24"/>
        </w:rPr>
        <w:t xml:space="preserve"> activitatea, </w:t>
      </w:r>
      <w:proofErr w:type="spellStart"/>
      <w:r w:rsidRPr="00431BC8">
        <w:rPr>
          <w:rFonts w:ascii="Times New Roman" w:hAnsi="Times New Roman" w:cs="Times New Roman"/>
          <w:i/>
          <w:sz w:val="24"/>
          <w:szCs w:val="24"/>
        </w:rPr>
        <w:t>condiţii</w:t>
      </w:r>
      <w:proofErr w:type="spellEnd"/>
      <w:r w:rsidRPr="00431BC8">
        <w:rPr>
          <w:rFonts w:ascii="Times New Roman" w:hAnsi="Times New Roman" w:cs="Times New Roman"/>
          <w:i/>
          <w:sz w:val="24"/>
          <w:szCs w:val="24"/>
        </w:rPr>
        <w:t xml:space="preserve"> periculoase sau vătămătoare, personalul salarizat poate primi un spor de până la 15% din salariul de bază, </w:t>
      </w:r>
      <w:r w:rsidRPr="00431BC8">
        <w:rPr>
          <w:rFonts w:ascii="Times New Roman" w:hAnsi="Times New Roman" w:cs="Times New Roman"/>
          <w:i/>
          <w:sz w:val="24"/>
          <w:szCs w:val="24"/>
        </w:rPr>
        <w:lastRenderedPageBreak/>
        <w:t>corespunzător timpului lucrat la locurile de muncă respective, cu respectarea prevederilor legale în vigoare.</w:t>
      </w:r>
      <w:r w:rsidRPr="00431BC8">
        <w:rPr>
          <w:rFonts w:ascii="Times New Roman" w:hAnsi="Times New Roman" w:cs="Times New Roman"/>
          <w:i/>
          <w:sz w:val="24"/>
          <w:szCs w:val="24"/>
        </w:rPr>
        <w:br/>
      </w:r>
      <w:r w:rsidRPr="00431BC8">
        <w:rPr>
          <w:rFonts w:ascii="Times New Roman" w:hAnsi="Times New Roman" w:cs="Times New Roman"/>
          <w:i/>
          <w:color w:val="CC0099"/>
          <w:sz w:val="24"/>
          <w:szCs w:val="24"/>
        </w:rPr>
        <w:t>(2)</w:t>
      </w:r>
      <w:r w:rsidRPr="00431BC8">
        <w:rPr>
          <w:rFonts w:ascii="Times New Roman" w:hAnsi="Times New Roman" w:cs="Times New Roman"/>
          <w:i/>
          <w:sz w:val="24"/>
          <w:szCs w:val="24"/>
        </w:rPr>
        <w:t xml:space="preserve"> </w:t>
      </w:r>
      <w:r w:rsidRPr="00431BC8">
        <w:rPr>
          <w:rFonts w:ascii="Times New Roman" w:hAnsi="Times New Roman" w:cs="Times New Roman"/>
          <w:b/>
          <w:i/>
          <w:sz w:val="24"/>
          <w:szCs w:val="24"/>
          <w:u w:val="single"/>
        </w:rPr>
        <w:t xml:space="preserve">Locurile de muncă, categoriile de personal, mărimea concretă a sporului, precum </w:t>
      </w:r>
      <w:proofErr w:type="spellStart"/>
      <w:r w:rsidRPr="00431BC8">
        <w:rPr>
          <w:rFonts w:ascii="Times New Roman" w:hAnsi="Times New Roman" w:cs="Times New Roman"/>
          <w:b/>
          <w:i/>
          <w:sz w:val="24"/>
          <w:szCs w:val="24"/>
          <w:u w:val="single"/>
        </w:rPr>
        <w:t>şi</w:t>
      </w:r>
      <w:proofErr w:type="spellEnd"/>
      <w:r w:rsidRPr="00431BC8">
        <w:rPr>
          <w:rFonts w:ascii="Times New Roman" w:hAnsi="Times New Roman" w:cs="Times New Roman"/>
          <w:b/>
          <w:i/>
          <w:sz w:val="24"/>
          <w:szCs w:val="24"/>
          <w:u w:val="single"/>
        </w:rPr>
        <w:t xml:space="preserve"> </w:t>
      </w:r>
      <w:proofErr w:type="spellStart"/>
      <w:r w:rsidRPr="00431BC8">
        <w:rPr>
          <w:rFonts w:ascii="Times New Roman" w:hAnsi="Times New Roman" w:cs="Times New Roman"/>
          <w:b/>
          <w:i/>
          <w:sz w:val="24"/>
          <w:szCs w:val="24"/>
          <w:u w:val="single"/>
        </w:rPr>
        <w:t>condiţiile</w:t>
      </w:r>
      <w:proofErr w:type="spellEnd"/>
      <w:r w:rsidRPr="00431BC8">
        <w:rPr>
          <w:rFonts w:ascii="Times New Roman" w:hAnsi="Times New Roman" w:cs="Times New Roman"/>
          <w:b/>
          <w:i/>
          <w:sz w:val="24"/>
          <w:szCs w:val="24"/>
          <w:u w:val="single"/>
        </w:rPr>
        <w:t xml:space="preserve"> de acordare a acestora se stabilesc</w:t>
      </w:r>
      <w:r w:rsidRPr="00431BC8">
        <w:rPr>
          <w:rFonts w:ascii="Times New Roman" w:hAnsi="Times New Roman" w:cs="Times New Roman"/>
          <w:b/>
          <w:i/>
          <w:sz w:val="24"/>
          <w:szCs w:val="24"/>
        </w:rPr>
        <w:t xml:space="preserve"> de către ordonatorul de credite, cu consultarea partenerilor sociali,</w:t>
      </w:r>
      <w:r w:rsidRPr="00431BC8">
        <w:rPr>
          <w:rFonts w:ascii="Times New Roman" w:hAnsi="Times New Roman" w:cs="Times New Roman"/>
          <w:b/>
          <w:i/>
          <w:sz w:val="24"/>
          <w:szCs w:val="24"/>
          <w:u w:val="single"/>
        </w:rPr>
        <w:t xml:space="preserve"> în limita prevederilor din Regulamentul prevăzut la art. 23 din prezenta lege, </w:t>
      </w:r>
      <w:r w:rsidRPr="00431BC8">
        <w:rPr>
          <w:rFonts w:ascii="Times New Roman" w:hAnsi="Times New Roman" w:cs="Times New Roman"/>
          <w:b/>
          <w:i/>
          <w:sz w:val="24"/>
          <w:szCs w:val="24"/>
        </w:rPr>
        <w:t xml:space="preserve">elaborat potrivit prezentei legi, având la bază buletinele de determinare sau, după caz, expertizare, emise de către </w:t>
      </w:r>
      <w:proofErr w:type="spellStart"/>
      <w:r w:rsidRPr="00431BC8">
        <w:rPr>
          <w:rFonts w:ascii="Times New Roman" w:hAnsi="Times New Roman" w:cs="Times New Roman"/>
          <w:b/>
          <w:i/>
          <w:sz w:val="24"/>
          <w:szCs w:val="24"/>
        </w:rPr>
        <w:t>autorităţile</w:t>
      </w:r>
      <w:proofErr w:type="spellEnd"/>
      <w:r w:rsidRPr="00431BC8">
        <w:rPr>
          <w:rFonts w:ascii="Times New Roman" w:hAnsi="Times New Roman" w:cs="Times New Roman"/>
          <w:b/>
          <w:i/>
          <w:sz w:val="24"/>
          <w:szCs w:val="24"/>
        </w:rPr>
        <w:t xml:space="preserve"> abilitate în acest sens.</w:t>
      </w:r>
      <w:r w:rsidRPr="00431BC8">
        <w:rPr>
          <w:rFonts w:ascii="Times New Roman" w:hAnsi="Times New Roman" w:cs="Times New Roman"/>
          <w:i/>
          <w:sz w:val="24"/>
          <w:szCs w:val="24"/>
        </w:rPr>
        <w:t>”</w:t>
      </w:r>
    </w:p>
    <w:p w14:paraId="680DCF8A" w14:textId="77777777" w:rsidR="00C12A30" w:rsidRDefault="00C12A30" w:rsidP="00C12A30">
      <w:pPr>
        <w:rPr>
          <w:rFonts w:ascii="Times New Roman" w:eastAsia="Calibri" w:hAnsi="Times New Roman" w:cs="Times New Roman"/>
          <w:sz w:val="24"/>
          <w:szCs w:val="24"/>
        </w:rPr>
      </w:pPr>
      <w:r>
        <w:rPr>
          <w:rFonts w:ascii="Times New Roman" w:eastAsia="Calibri" w:hAnsi="Times New Roman" w:cs="Times New Roman"/>
          <w:sz w:val="24"/>
          <w:szCs w:val="24"/>
        </w:rPr>
        <w:tab/>
      </w:r>
    </w:p>
    <w:p w14:paraId="74DFDE56" w14:textId="143F2D23" w:rsidR="00C12A30" w:rsidRDefault="00C12A30" w:rsidP="00C12A30">
      <w:pPr>
        <w:ind w:firstLine="360"/>
        <w:rPr>
          <w:rFonts w:ascii="Times New Roman" w:eastAsia="Calibri" w:hAnsi="Times New Roman" w:cs="Times New Roman"/>
          <w:b/>
          <w:sz w:val="24"/>
          <w:szCs w:val="24"/>
        </w:rPr>
      </w:pPr>
      <w:r w:rsidRPr="00462602">
        <w:rPr>
          <w:rFonts w:ascii="Times New Roman" w:eastAsia="Times New Roman" w:hAnsi="Times New Roman" w:cs="Times New Roman"/>
          <w:i/>
          <w:sz w:val="24"/>
          <w:szCs w:val="24"/>
          <w:lang w:eastAsia="ro-RO"/>
        </w:rPr>
        <w:t xml:space="preserve">REGULAMENT – CADRU privind stabilirea locurilor de muncă, a categoriilor de personal, a mărimii concrete a sporului pentru </w:t>
      </w:r>
      <w:proofErr w:type="spellStart"/>
      <w:r w:rsidRPr="00462602">
        <w:rPr>
          <w:rFonts w:ascii="Times New Roman" w:eastAsia="Times New Roman" w:hAnsi="Times New Roman" w:cs="Times New Roman"/>
          <w:i/>
          <w:sz w:val="24"/>
          <w:szCs w:val="24"/>
          <w:lang w:eastAsia="ro-RO"/>
        </w:rPr>
        <w:t>condiţii</w:t>
      </w:r>
      <w:proofErr w:type="spellEnd"/>
      <w:r w:rsidRPr="00462602">
        <w:rPr>
          <w:rFonts w:ascii="Times New Roman" w:eastAsia="Times New Roman" w:hAnsi="Times New Roman" w:cs="Times New Roman"/>
          <w:i/>
          <w:sz w:val="24"/>
          <w:szCs w:val="24"/>
          <w:lang w:eastAsia="ro-RO"/>
        </w:rPr>
        <w:t xml:space="preserve"> de muncă, precum </w:t>
      </w:r>
      <w:proofErr w:type="spellStart"/>
      <w:r w:rsidRPr="00462602">
        <w:rPr>
          <w:rFonts w:ascii="Times New Roman" w:eastAsia="Times New Roman" w:hAnsi="Times New Roman" w:cs="Times New Roman"/>
          <w:i/>
          <w:sz w:val="24"/>
          <w:szCs w:val="24"/>
          <w:lang w:eastAsia="ro-RO"/>
        </w:rPr>
        <w:t>şi</w:t>
      </w:r>
      <w:proofErr w:type="spellEnd"/>
      <w:r w:rsidRPr="00462602">
        <w:rPr>
          <w:rFonts w:ascii="Times New Roman" w:eastAsia="Times New Roman" w:hAnsi="Times New Roman" w:cs="Times New Roman"/>
          <w:i/>
          <w:sz w:val="24"/>
          <w:szCs w:val="24"/>
          <w:lang w:eastAsia="ro-RO"/>
        </w:rPr>
        <w:t xml:space="preserve"> a </w:t>
      </w:r>
      <w:proofErr w:type="spellStart"/>
      <w:r w:rsidRPr="00462602">
        <w:rPr>
          <w:rFonts w:ascii="Times New Roman" w:eastAsia="Times New Roman" w:hAnsi="Times New Roman" w:cs="Times New Roman"/>
          <w:i/>
          <w:sz w:val="24"/>
          <w:szCs w:val="24"/>
          <w:lang w:eastAsia="ro-RO"/>
        </w:rPr>
        <w:t>condiţiilor</w:t>
      </w:r>
      <w:proofErr w:type="spellEnd"/>
      <w:r w:rsidRPr="00462602">
        <w:rPr>
          <w:rFonts w:ascii="Times New Roman" w:eastAsia="Times New Roman" w:hAnsi="Times New Roman" w:cs="Times New Roman"/>
          <w:i/>
          <w:sz w:val="24"/>
          <w:szCs w:val="24"/>
          <w:lang w:eastAsia="ro-RO"/>
        </w:rPr>
        <w:t xml:space="preserve"> de acordare a acestuia pentru personalul din familia </w:t>
      </w:r>
      <w:proofErr w:type="spellStart"/>
      <w:r w:rsidRPr="00462602">
        <w:rPr>
          <w:rFonts w:ascii="Times New Roman" w:eastAsia="Times New Roman" w:hAnsi="Times New Roman" w:cs="Times New Roman"/>
          <w:i/>
          <w:sz w:val="24"/>
          <w:szCs w:val="24"/>
          <w:lang w:eastAsia="ro-RO"/>
        </w:rPr>
        <w:t>ocupaţională</w:t>
      </w:r>
      <w:proofErr w:type="spellEnd"/>
      <w:r w:rsidRPr="00462602">
        <w:rPr>
          <w:rFonts w:ascii="Times New Roman" w:eastAsia="Times New Roman" w:hAnsi="Times New Roman" w:cs="Times New Roman"/>
          <w:i/>
          <w:sz w:val="24"/>
          <w:szCs w:val="24"/>
          <w:lang w:eastAsia="ro-RO"/>
        </w:rPr>
        <w:t xml:space="preserve"> de </w:t>
      </w:r>
      <w:proofErr w:type="spellStart"/>
      <w:r w:rsidRPr="00462602">
        <w:rPr>
          <w:rFonts w:ascii="Times New Roman" w:eastAsia="Times New Roman" w:hAnsi="Times New Roman" w:cs="Times New Roman"/>
          <w:i/>
          <w:sz w:val="24"/>
          <w:szCs w:val="24"/>
          <w:lang w:eastAsia="ro-RO"/>
        </w:rPr>
        <w:t>funcţii</w:t>
      </w:r>
      <w:proofErr w:type="spellEnd"/>
      <w:r w:rsidRPr="00462602">
        <w:rPr>
          <w:rFonts w:ascii="Times New Roman" w:eastAsia="Times New Roman" w:hAnsi="Times New Roman" w:cs="Times New Roman"/>
          <w:i/>
          <w:sz w:val="24"/>
          <w:szCs w:val="24"/>
          <w:lang w:eastAsia="ro-RO"/>
        </w:rPr>
        <w:t xml:space="preserve"> bugetare "</w:t>
      </w:r>
      <w:proofErr w:type="spellStart"/>
      <w:r w:rsidRPr="00462602">
        <w:rPr>
          <w:rFonts w:ascii="Times New Roman" w:eastAsia="Times New Roman" w:hAnsi="Times New Roman" w:cs="Times New Roman"/>
          <w:i/>
          <w:sz w:val="24"/>
          <w:szCs w:val="24"/>
          <w:lang w:eastAsia="ro-RO"/>
        </w:rPr>
        <w:t>Învăţământ</w:t>
      </w:r>
      <w:proofErr w:type="spellEnd"/>
      <w:r w:rsidRPr="00462602">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Pr>
          <w:rFonts w:ascii="Times New Roman" w:eastAsia="Calibri" w:hAnsi="Times New Roman" w:cs="Times New Roman"/>
          <w:sz w:val="24"/>
          <w:szCs w:val="24"/>
        </w:rPr>
        <w:t xml:space="preserve">la care face trimitere Legea nr.153/2017) a fost aprobat prin </w:t>
      </w:r>
      <w:r w:rsidRPr="00462602">
        <w:rPr>
          <w:rFonts w:ascii="Times New Roman" w:eastAsia="Calibri" w:hAnsi="Times New Roman" w:cs="Times New Roman"/>
          <w:b/>
          <w:sz w:val="24"/>
          <w:szCs w:val="24"/>
        </w:rPr>
        <w:t>H.G. nr.</w:t>
      </w:r>
      <w:r w:rsidR="002A2826">
        <w:rPr>
          <w:rFonts w:ascii="Times New Roman" w:eastAsia="Calibri" w:hAnsi="Times New Roman" w:cs="Times New Roman"/>
          <w:b/>
          <w:sz w:val="24"/>
          <w:szCs w:val="24"/>
        </w:rPr>
        <w:t xml:space="preserve"> </w:t>
      </w:r>
      <w:r w:rsidRPr="00462602">
        <w:rPr>
          <w:rFonts w:ascii="Times New Roman" w:eastAsia="Calibri" w:hAnsi="Times New Roman" w:cs="Times New Roman"/>
          <w:b/>
          <w:sz w:val="24"/>
          <w:szCs w:val="24"/>
        </w:rPr>
        <w:t>34/2018</w:t>
      </w:r>
      <w:r>
        <w:rPr>
          <w:rFonts w:ascii="Times New Roman" w:eastAsia="Calibri" w:hAnsi="Times New Roman" w:cs="Times New Roman"/>
          <w:b/>
          <w:sz w:val="24"/>
          <w:szCs w:val="24"/>
        </w:rPr>
        <w:t xml:space="preserve">. </w:t>
      </w:r>
    </w:p>
    <w:p w14:paraId="4B617716" w14:textId="77777777" w:rsidR="00C12A30" w:rsidRPr="00B73EC8" w:rsidRDefault="00C12A30" w:rsidP="00C12A30">
      <w:pPr>
        <w:pStyle w:val="Listparagraf"/>
        <w:numPr>
          <w:ilvl w:val="0"/>
          <w:numId w:val="1"/>
        </w:numPr>
        <w:rPr>
          <w:rFonts w:ascii="Times New Roman" w:eastAsia="Calibri" w:hAnsi="Times New Roman" w:cs="Times New Roman"/>
          <w:b/>
          <w:sz w:val="24"/>
          <w:szCs w:val="24"/>
        </w:rPr>
      </w:pPr>
      <w:r>
        <w:rPr>
          <w:rFonts w:ascii="Times New Roman" w:eastAsia="Calibri" w:hAnsi="Times New Roman" w:cs="Times New Roman"/>
          <w:b/>
          <w:sz w:val="24"/>
          <w:szCs w:val="24"/>
        </w:rPr>
        <w:t>Condiția încadrării în buget</w:t>
      </w:r>
    </w:p>
    <w:p w14:paraId="75226BEB" w14:textId="77777777" w:rsidR="00C12A30" w:rsidRPr="00431BC8" w:rsidRDefault="00C12A30" w:rsidP="00C12A30">
      <w:pPr>
        <w:jc w:val="both"/>
        <w:rPr>
          <w:rFonts w:ascii="Times New Roman" w:eastAsia="Calibri" w:hAnsi="Times New Roman" w:cs="Times New Roman"/>
          <w:sz w:val="24"/>
          <w:szCs w:val="24"/>
        </w:rPr>
      </w:pPr>
      <w:r>
        <w:rPr>
          <w:rFonts w:ascii="Times New Roman" w:eastAsia="Calibri" w:hAnsi="Times New Roman" w:cs="Times New Roman"/>
          <w:b/>
          <w:sz w:val="24"/>
          <w:szCs w:val="24"/>
        </w:rPr>
        <w:tab/>
        <w:t xml:space="preserve">O condiție </w:t>
      </w:r>
      <w:r w:rsidRPr="00400C64">
        <w:rPr>
          <w:rFonts w:ascii="Times New Roman" w:eastAsia="Calibri" w:hAnsi="Times New Roman" w:cs="Times New Roman"/>
          <w:b/>
          <w:sz w:val="24"/>
          <w:szCs w:val="24"/>
          <w:u w:val="single"/>
        </w:rPr>
        <w:t>esențială</w:t>
      </w:r>
      <w:r>
        <w:rPr>
          <w:rFonts w:ascii="Times New Roman" w:eastAsia="Calibri" w:hAnsi="Times New Roman" w:cs="Times New Roman"/>
          <w:b/>
          <w:sz w:val="24"/>
          <w:szCs w:val="24"/>
        </w:rPr>
        <w:t xml:space="preserve"> în acordarea sporului pentru condiții vătămătoare impusă de art.2 și reiterată de art.5 din Regulamentul aprobat prin HG nr.34/2018 constă în încadrarea sumelor de bani aferente acestui spor, în bugetul de venituri și cheltuieli.</w:t>
      </w:r>
    </w:p>
    <w:p w14:paraId="449309E9" w14:textId="77777777" w:rsidR="00C12A30" w:rsidRPr="00400C64" w:rsidRDefault="00C12A30" w:rsidP="00C12A30">
      <w:pPr>
        <w:spacing w:after="0" w:line="23" w:lineRule="atLeast"/>
        <w:jc w:val="both"/>
        <w:rPr>
          <w:rFonts w:ascii="Times New Roman" w:hAnsi="Times New Roman" w:cs="Times New Roman"/>
          <w:i/>
          <w:sz w:val="24"/>
          <w:szCs w:val="24"/>
        </w:rPr>
      </w:pPr>
      <w:r w:rsidRPr="00400C64">
        <w:rPr>
          <w:rFonts w:ascii="Times New Roman" w:hAnsi="Times New Roman" w:cs="Times New Roman"/>
          <w:i/>
          <w:sz w:val="24"/>
          <w:szCs w:val="24"/>
        </w:rPr>
        <w:t xml:space="preserve">”Art. 2. - </w:t>
      </w:r>
      <w:r w:rsidRPr="00400C64">
        <w:rPr>
          <w:rFonts w:ascii="Times New Roman" w:hAnsi="Times New Roman" w:cs="Times New Roman"/>
          <w:i/>
          <w:color w:val="CC0099"/>
          <w:sz w:val="24"/>
          <w:szCs w:val="24"/>
        </w:rPr>
        <w:t>(1)</w:t>
      </w:r>
      <w:r w:rsidRPr="00400C64">
        <w:rPr>
          <w:rFonts w:ascii="Times New Roman" w:hAnsi="Times New Roman" w:cs="Times New Roman"/>
          <w:i/>
          <w:sz w:val="24"/>
          <w:szCs w:val="24"/>
        </w:rPr>
        <w:t xml:space="preserve"> Sporul pentru </w:t>
      </w:r>
      <w:proofErr w:type="spellStart"/>
      <w:r w:rsidRPr="00400C64">
        <w:rPr>
          <w:rFonts w:ascii="Times New Roman" w:hAnsi="Times New Roman" w:cs="Times New Roman"/>
          <w:i/>
          <w:sz w:val="24"/>
          <w:szCs w:val="24"/>
        </w:rPr>
        <w:t>condiţii</w:t>
      </w:r>
      <w:proofErr w:type="spellEnd"/>
      <w:r w:rsidRPr="00400C64">
        <w:rPr>
          <w:rFonts w:ascii="Times New Roman" w:hAnsi="Times New Roman" w:cs="Times New Roman"/>
          <w:i/>
          <w:sz w:val="24"/>
          <w:szCs w:val="24"/>
        </w:rPr>
        <w:t xml:space="preserve"> de muncă prevăzut în prezentul regulament se acordă, pe baza buletinelor de determinare sau, după caz, expertizare, emise de către </w:t>
      </w:r>
      <w:proofErr w:type="spellStart"/>
      <w:r w:rsidRPr="00400C64">
        <w:rPr>
          <w:rFonts w:ascii="Times New Roman" w:hAnsi="Times New Roman" w:cs="Times New Roman"/>
          <w:i/>
          <w:sz w:val="24"/>
          <w:szCs w:val="24"/>
        </w:rPr>
        <w:t>autorităţile</w:t>
      </w:r>
      <w:proofErr w:type="spellEnd"/>
      <w:r w:rsidRPr="00400C64">
        <w:rPr>
          <w:rFonts w:ascii="Times New Roman" w:hAnsi="Times New Roman" w:cs="Times New Roman"/>
          <w:i/>
          <w:sz w:val="24"/>
          <w:szCs w:val="24"/>
        </w:rPr>
        <w:t xml:space="preserve"> abilitate în acest sens, pentru timpul efectiv lucrat în locurile de muncă respective, în procent de până la 15% aplicat la salariul de bază, </w:t>
      </w:r>
      <w:r w:rsidRPr="00400C64">
        <w:rPr>
          <w:rFonts w:ascii="Times New Roman" w:hAnsi="Times New Roman" w:cs="Times New Roman"/>
          <w:b/>
          <w:i/>
          <w:sz w:val="24"/>
          <w:szCs w:val="24"/>
          <w:u w:val="single"/>
        </w:rPr>
        <w:t xml:space="preserve">cu încadrarea în sumele prevăzute pentru cheltuieli salariale din bugetul de venituri </w:t>
      </w:r>
      <w:proofErr w:type="spellStart"/>
      <w:r w:rsidRPr="00400C64">
        <w:rPr>
          <w:rFonts w:ascii="Times New Roman" w:hAnsi="Times New Roman" w:cs="Times New Roman"/>
          <w:b/>
          <w:i/>
          <w:sz w:val="24"/>
          <w:szCs w:val="24"/>
          <w:u w:val="single"/>
        </w:rPr>
        <w:t>şi</w:t>
      </w:r>
      <w:proofErr w:type="spellEnd"/>
      <w:r w:rsidRPr="00400C64">
        <w:rPr>
          <w:rFonts w:ascii="Times New Roman" w:hAnsi="Times New Roman" w:cs="Times New Roman"/>
          <w:b/>
          <w:i/>
          <w:sz w:val="24"/>
          <w:szCs w:val="24"/>
          <w:u w:val="single"/>
        </w:rPr>
        <w:t xml:space="preserve"> cheltuieli aprobat</w:t>
      </w:r>
      <w:r w:rsidRPr="00400C64">
        <w:rPr>
          <w:rFonts w:ascii="Times New Roman" w:hAnsi="Times New Roman" w:cs="Times New Roman"/>
          <w:i/>
          <w:sz w:val="24"/>
          <w:szCs w:val="24"/>
        </w:rPr>
        <w:t>.”</w:t>
      </w:r>
    </w:p>
    <w:p w14:paraId="57F00D14" w14:textId="77777777" w:rsidR="00C12A30" w:rsidRPr="00400C64" w:rsidRDefault="00C12A30" w:rsidP="00C12A30">
      <w:pPr>
        <w:spacing w:after="0" w:line="23" w:lineRule="atLeast"/>
        <w:jc w:val="both"/>
        <w:rPr>
          <w:rFonts w:ascii="Times New Roman" w:hAnsi="Times New Roman" w:cs="Times New Roman"/>
          <w:i/>
          <w:sz w:val="24"/>
          <w:szCs w:val="24"/>
        </w:rPr>
      </w:pPr>
    </w:p>
    <w:p w14:paraId="2F32A583" w14:textId="77777777" w:rsidR="00C12A30" w:rsidRPr="00400C64" w:rsidRDefault="00C12A30" w:rsidP="00C12A30">
      <w:pPr>
        <w:spacing w:after="0" w:line="23" w:lineRule="atLeast"/>
        <w:jc w:val="both"/>
        <w:rPr>
          <w:rFonts w:ascii="Times New Roman" w:eastAsia="Calibri" w:hAnsi="Times New Roman" w:cs="Times New Roman"/>
          <w:i/>
          <w:sz w:val="24"/>
          <w:szCs w:val="24"/>
        </w:rPr>
      </w:pPr>
      <w:r>
        <w:rPr>
          <w:rFonts w:ascii="Times New Roman" w:hAnsi="Times New Roman" w:cs="Times New Roman"/>
          <w:i/>
          <w:sz w:val="24"/>
          <w:szCs w:val="24"/>
        </w:rPr>
        <w:t>”</w:t>
      </w:r>
      <w:r w:rsidRPr="00400C64">
        <w:rPr>
          <w:rFonts w:ascii="Times New Roman" w:hAnsi="Times New Roman" w:cs="Times New Roman"/>
          <w:i/>
          <w:sz w:val="24"/>
          <w:szCs w:val="24"/>
        </w:rPr>
        <w:t xml:space="preserve">Art. 5. - Nominalizarea personalului care beneficiază de sporul pentru </w:t>
      </w:r>
      <w:proofErr w:type="spellStart"/>
      <w:r w:rsidRPr="00400C64">
        <w:rPr>
          <w:rFonts w:ascii="Times New Roman" w:hAnsi="Times New Roman" w:cs="Times New Roman"/>
          <w:i/>
          <w:sz w:val="24"/>
          <w:szCs w:val="24"/>
        </w:rPr>
        <w:t>condiţii</w:t>
      </w:r>
      <w:proofErr w:type="spellEnd"/>
      <w:r w:rsidRPr="00400C64">
        <w:rPr>
          <w:rFonts w:ascii="Times New Roman" w:hAnsi="Times New Roman" w:cs="Times New Roman"/>
          <w:i/>
          <w:sz w:val="24"/>
          <w:szCs w:val="24"/>
        </w:rPr>
        <w:t xml:space="preserve"> de muncă, fără </w:t>
      </w:r>
      <w:proofErr w:type="spellStart"/>
      <w:r w:rsidRPr="00400C64">
        <w:rPr>
          <w:rFonts w:ascii="Times New Roman" w:hAnsi="Times New Roman" w:cs="Times New Roman"/>
          <w:i/>
          <w:sz w:val="24"/>
          <w:szCs w:val="24"/>
        </w:rPr>
        <w:t>depăşirea</w:t>
      </w:r>
      <w:proofErr w:type="spellEnd"/>
      <w:r w:rsidRPr="00400C64">
        <w:rPr>
          <w:rFonts w:ascii="Times New Roman" w:hAnsi="Times New Roman" w:cs="Times New Roman"/>
          <w:i/>
          <w:sz w:val="24"/>
          <w:szCs w:val="24"/>
        </w:rPr>
        <w:t xml:space="preserve"> procentului de 15%, se face de către conducătorul ierarhic </w:t>
      </w:r>
      <w:proofErr w:type="spellStart"/>
      <w:r w:rsidRPr="00400C64">
        <w:rPr>
          <w:rFonts w:ascii="Times New Roman" w:hAnsi="Times New Roman" w:cs="Times New Roman"/>
          <w:i/>
          <w:sz w:val="24"/>
          <w:szCs w:val="24"/>
        </w:rPr>
        <w:t>şi</w:t>
      </w:r>
      <w:proofErr w:type="spellEnd"/>
      <w:r w:rsidRPr="00400C64">
        <w:rPr>
          <w:rFonts w:ascii="Times New Roman" w:hAnsi="Times New Roman" w:cs="Times New Roman"/>
          <w:i/>
          <w:sz w:val="24"/>
          <w:szCs w:val="24"/>
        </w:rPr>
        <w:t xml:space="preserve"> se aprobă de consiliul de </w:t>
      </w:r>
      <w:proofErr w:type="spellStart"/>
      <w:r w:rsidRPr="00400C64">
        <w:rPr>
          <w:rFonts w:ascii="Times New Roman" w:hAnsi="Times New Roman" w:cs="Times New Roman"/>
          <w:i/>
          <w:sz w:val="24"/>
          <w:szCs w:val="24"/>
        </w:rPr>
        <w:t>administraţie</w:t>
      </w:r>
      <w:proofErr w:type="spellEnd"/>
      <w:r w:rsidRPr="00400C64">
        <w:rPr>
          <w:rFonts w:ascii="Times New Roman" w:hAnsi="Times New Roman" w:cs="Times New Roman"/>
          <w:i/>
          <w:sz w:val="24"/>
          <w:szCs w:val="24"/>
        </w:rPr>
        <w:t xml:space="preserve">, cu consultarea </w:t>
      </w:r>
      <w:proofErr w:type="spellStart"/>
      <w:r w:rsidRPr="00400C64">
        <w:rPr>
          <w:rFonts w:ascii="Times New Roman" w:hAnsi="Times New Roman" w:cs="Times New Roman"/>
          <w:i/>
          <w:sz w:val="24"/>
          <w:szCs w:val="24"/>
        </w:rPr>
        <w:t>organizaţiilor</w:t>
      </w:r>
      <w:proofErr w:type="spellEnd"/>
      <w:r w:rsidRPr="00400C64">
        <w:rPr>
          <w:rFonts w:ascii="Times New Roman" w:hAnsi="Times New Roman" w:cs="Times New Roman"/>
          <w:i/>
          <w:sz w:val="24"/>
          <w:szCs w:val="24"/>
        </w:rPr>
        <w:t xml:space="preserve"> sindicale afiliate la </w:t>
      </w:r>
      <w:proofErr w:type="spellStart"/>
      <w:r w:rsidRPr="00400C64">
        <w:rPr>
          <w:rFonts w:ascii="Times New Roman" w:hAnsi="Times New Roman" w:cs="Times New Roman"/>
          <w:i/>
          <w:sz w:val="24"/>
          <w:szCs w:val="24"/>
        </w:rPr>
        <w:t>federaţiile</w:t>
      </w:r>
      <w:proofErr w:type="spellEnd"/>
      <w:r w:rsidRPr="00400C64">
        <w:rPr>
          <w:rFonts w:ascii="Times New Roman" w:hAnsi="Times New Roman" w:cs="Times New Roman"/>
          <w:i/>
          <w:sz w:val="24"/>
          <w:szCs w:val="24"/>
        </w:rPr>
        <w:t xml:space="preserve"> sindicale reprezentative la nivel de sector de activitate </w:t>
      </w:r>
      <w:proofErr w:type="spellStart"/>
      <w:r w:rsidRPr="00400C64">
        <w:rPr>
          <w:rFonts w:ascii="Times New Roman" w:hAnsi="Times New Roman" w:cs="Times New Roman"/>
          <w:i/>
          <w:sz w:val="24"/>
          <w:szCs w:val="24"/>
        </w:rPr>
        <w:t>învăţământ</w:t>
      </w:r>
      <w:proofErr w:type="spellEnd"/>
      <w:r w:rsidRPr="00400C64">
        <w:rPr>
          <w:rFonts w:ascii="Times New Roman" w:hAnsi="Times New Roman" w:cs="Times New Roman"/>
          <w:i/>
          <w:sz w:val="24"/>
          <w:szCs w:val="24"/>
        </w:rPr>
        <w:t xml:space="preserve"> sau a </w:t>
      </w:r>
      <w:proofErr w:type="spellStart"/>
      <w:r w:rsidRPr="00400C64">
        <w:rPr>
          <w:rFonts w:ascii="Times New Roman" w:hAnsi="Times New Roman" w:cs="Times New Roman"/>
          <w:i/>
          <w:sz w:val="24"/>
          <w:szCs w:val="24"/>
        </w:rPr>
        <w:t>reprezentaţiilor</w:t>
      </w:r>
      <w:proofErr w:type="spellEnd"/>
      <w:r w:rsidRPr="00400C64">
        <w:rPr>
          <w:rFonts w:ascii="Times New Roman" w:hAnsi="Times New Roman" w:cs="Times New Roman"/>
          <w:i/>
          <w:sz w:val="24"/>
          <w:szCs w:val="24"/>
        </w:rPr>
        <w:t xml:space="preserve"> </w:t>
      </w:r>
      <w:proofErr w:type="spellStart"/>
      <w:r w:rsidRPr="00400C64">
        <w:rPr>
          <w:rFonts w:ascii="Times New Roman" w:hAnsi="Times New Roman" w:cs="Times New Roman"/>
          <w:i/>
          <w:sz w:val="24"/>
          <w:szCs w:val="24"/>
        </w:rPr>
        <w:t>salariaţilor</w:t>
      </w:r>
      <w:proofErr w:type="spellEnd"/>
      <w:r w:rsidRPr="00400C64">
        <w:rPr>
          <w:rFonts w:ascii="Times New Roman" w:hAnsi="Times New Roman" w:cs="Times New Roman"/>
          <w:i/>
          <w:sz w:val="24"/>
          <w:szCs w:val="24"/>
        </w:rPr>
        <w:t xml:space="preserve"> la nivel de unitate/</w:t>
      </w:r>
      <w:proofErr w:type="spellStart"/>
      <w:r w:rsidRPr="00400C64">
        <w:rPr>
          <w:rFonts w:ascii="Times New Roman" w:hAnsi="Times New Roman" w:cs="Times New Roman"/>
          <w:i/>
          <w:sz w:val="24"/>
          <w:szCs w:val="24"/>
        </w:rPr>
        <w:t>instituţie</w:t>
      </w:r>
      <w:proofErr w:type="spellEnd"/>
      <w:r w:rsidRPr="00400C64">
        <w:rPr>
          <w:rFonts w:ascii="Times New Roman" w:hAnsi="Times New Roman" w:cs="Times New Roman"/>
          <w:i/>
          <w:sz w:val="24"/>
          <w:szCs w:val="24"/>
        </w:rPr>
        <w:t xml:space="preserve"> acolo unde nu există sindicate, cu respectarea prevederilor art. 25 alin. (1) din </w:t>
      </w:r>
      <w:hyperlink r:id="rId8" w:history="1">
        <w:r w:rsidRPr="00400C64">
          <w:rPr>
            <w:rFonts w:ascii="Times New Roman" w:hAnsi="Times New Roman" w:cs="Times New Roman"/>
            <w:i/>
            <w:color w:val="0000FF"/>
            <w:sz w:val="24"/>
            <w:szCs w:val="24"/>
            <w:u w:val="single"/>
          </w:rPr>
          <w:t>Legea - cadru nr. 153/2017</w:t>
        </w:r>
      </w:hyperlink>
      <w:r w:rsidRPr="00400C64">
        <w:rPr>
          <w:rFonts w:ascii="Times New Roman" w:hAnsi="Times New Roman" w:cs="Times New Roman"/>
          <w:i/>
          <w:sz w:val="24"/>
          <w:szCs w:val="24"/>
        </w:rPr>
        <w:t xml:space="preserve">, cu modificările </w:t>
      </w:r>
      <w:proofErr w:type="spellStart"/>
      <w:r w:rsidRPr="00400C64">
        <w:rPr>
          <w:rFonts w:ascii="Times New Roman" w:hAnsi="Times New Roman" w:cs="Times New Roman"/>
          <w:i/>
          <w:sz w:val="24"/>
          <w:szCs w:val="24"/>
        </w:rPr>
        <w:t>şi</w:t>
      </w:r>
      <w:proofErr w:type="spellEnd"/>
      <w:r w:rsidRPr="00400C64">
        <w:rPr>
          <w:rFonts w:ascii="Times New Roman" w:hAnsi="Times New Roman" w:cs="Times New Roman"/>
          <w:i/>
          <w:sz w:val="24"/>
          <w:szCs w:val="24"/>
        </w:rPr>
        <w:t xml:space="preserve"> completările ulterioare, </w:t>
      </w:r>
      <w:proofErr w:type="spellStart"/>
      <w:r w:rsidRPr="00400C64">
        <w:rPr>
          <w:rFonts w:ascii="Times New Roman" w:hAnsi="Times New Roman" w:cs="Times New Roman"/>
          <w:b/>
          <w:i/>
          <w:sz w:val="24"/>
          <w:szCs w:val="24"/>
          <w:u w:val="single"/>
        </w:rPr>
        <w:t>şi</w:t>
      </w:r>
      <w:proofErr w:type="spellEnd"/>
      <w:r w:rsidRPr="00400C64">
        <w:rPr>
          <w:rFonts w:ascii="Times New Roman" w:hAnsi="Times New Roman" w:cs="Times New Roman"/>
          <w:b/>
          <w:i/>
          <w:sz w:val="24"/>
          <w:szCs w:val="24"/>
          <w:u w:val="single"/>
        </w:rPr>
        <w:t xml:space="preserve"> cu încadrarea în fondurile aprobate pentru cheltuieli salariale</w:t>
      </w:r>
      <w:r w:rsidRPr="00400C64">
        <w:rPr>
          <w:rFonts w:ascii="Times New Roman" w:hAnsi="Times New Roman" w:cs="Times New Roman"/>
          <w:i/>
          <w:sz w:val="24"/>
          <w:szCs w:val="24"/>
        </w:rPr>
        <w:t>.</w:t>
      </w:r>
      <w:r>
        <w:rPr>
          <w:rFonts w:ascii="Times New Roman" w:hAnsi="Times New Roman" w:cs="Times New Roman"/>
          <w:i/>
          <w:sz w:val="24"/>
          <w:szCs w:val="24"/>
        </w:rPr>
        <w:t>”</w:t>
      </w:r>
    </w:p>
    <w:p w14:paraId="450465FC" w14:textId="77777777" w:rsidR="00C12A30" w:rsidRPr="00400C64" w:rsidRDefault="00C12A30" w:rsidP="00C12A30">
      <w:pPr>
        <w:spacing w:after="0" w:line="23" w:lineRule="atLeast"/>
        <w:jc w:val="both"/>
        <w:rPr>
          <w:rFonts w:ascii="Times New Roman" w:eastAsia="Calibri" w:hAnsi="Times New Roman" w:cs="Times New Roman"/>
          <w:i/>
          <w:sz w:val="24"/>
          <w:szCs w:val="24"/>
        </w:rPr>
      </w:pPr>
      <w:r w:rsidRPr="00400C64">
        <w:rPr>
          <w:rFonts w:ascii="Times New Roman" w:eastAsia="Calibri" w:hAnsi="Times New Roman" w:cs="Times New Roman"/>
          <w:i/>
          <w:sz w:val="24"/>
          <w:szCs w:val="24"/>
        </w:rPr>
        <w:tab/>
      </w:r>
    </w:p>
    <w:p w14:paraId="54C954C1" w14:textId="56B35AA0" w:rsidR="00C12A30" w:rsidRPr="003A391D" w:rsidRDefault="00C12A30" w:rsidP="00C12A30">
      <w:pPr>
        <w:spacing w:after="0" w:line="23" w:lineRule="atLeast"/>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ab/>
      </w:r>
      <w:r w:rsidRPr="003A391D">
        <w:rPr>
          <w:rFonts w:ascii="Times New Roman" w:eastAsia="Calibri" w:hAnsi="Times New Roman" w:cs="Times New Roman"/>
          <w:b/>
          <w:sz w:val="24"/>
          <w:szCs w:val="24"/>
        </w:rPr>
        <w:t xml:space="preserve">Pentru asigurarea îndeplinirii condiției încadrării în buget, am solicitat pârâtului </w:t>
      </w:r>
      <w:r>
        <w:rPr>
          <w:rFonts w:ascii="Times New Roman" w:eastAsia="Calibri" w:hAnsi="Times New Roman" w:cs="Times New Roman"/>
          <w:b/>
          <w:sz w:val="24"/>
          <w:szCs w:val="24"/>
        </w:rPr>
        <w:t>Școala Gimnazială nr.1 Orbeni</w:t>
      </w:r>
      <w:r w:rsidRPr="003A391D">
        <w:rPr>
          <w:rFonts w:ascii="Times New Roman" w:eastAsia="Calibri" w:hAnsi="Times New Roman" w:cs="Times New Roman"/>
          <w:b/>
          <w:sz w:val="24"/>
          <w:szCs w:val="24"/>
        </w:rPr>
        <w:t xml:space="preserve"> informații și înscrisuri la care s-a răspuns prin adresa nr.</w:t>
      </w:r>
      <w:r w:rsidR="002A28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3922</w:t>
      </w:r>
      <w:r w:rsidRPr="003A391D">
        <w:rPr>
          <w:rFonts w:ascii="Times New Roman" w:eastAsia="Calibri" w:hAnsi="Times New Roman" w:cs="Times New Roman"/>
          <w:b/>
          <w:sz w:val="24"/>
          <w:szCs w:val="24"/>
        </w:rPr>
        <w:t>/</w:t>
      </w:r>
      <w:r>
        <w:rPr>
          <w:rFonts w:ascii="Times New Roman" w:eastAsia="Calibri" w:hAnsi="Times New Roman" w:cs="Times New Roman"/>
          <w:b/>
          <w:sz w:val="24"/>
          <w:szCs w:val="24"/>
        </w:rPr>
        <w:t>29</w:t>
      </w:r>
      <w:r w:rsidRPr="003A391D">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3A391D">
        <w:rPr>
          <w:rFonts w:ascii="Times New Roman" w:eastAsia="Calibri" w:hAnsi="Times New Roman" w:cs="Times New Roman"/>
          <w:b/>
          <w:sz w:val="24"/>
          <w:szCs w:val="24"/>
        </w:rPr>
        <w:t xml:space="preserve">.2019 pe care o atașăm prezentei </w:t>
      </w:r>
      <w:r>
        <w:rPr>
          <w:rFonts w:ascii="Times New Roman" w:eastAsia="Calibri" w:hAnsi="Times New Roman" w:cs="Times New Roman"/>
          <w:b/>
          <w:sz w:val="24"/>
          <w:szCs w:val="24"/>
        </w:rPr>
        <w:t xml:space="preserve">din care rezultă că </w:t>
      </w:r>
      <w:proofErr w:type="spellStart"/>
      <w:r>
        <w:rPr>
          <w:rFonts w:ascii="Times New Roman" w:eastAsia="Calibri" w:hAnsi="Times New Roman" w:cs="Times New Roman"/>
          <w:b/>
          <w:sz w:val="24"/>
          <w:szCs w:val="24"/>
        </w:rPr>
        <w:t>școla</w:t>
      </w:r>
      <w:proofErr w:type="spellEnd"/>
      <w:r>
        <w:rPr>
          <w:rFonts w:ascii="Times New Roman" w:eastAsia="Calibri" w:hAnsi="Times New Roman" w:cs="Times New Roman"/>
          <w:b/>
          <w:sz w:val="24"/>
          <w:szCs w:val="24"/>
        </w:rPr>
        <w:t xml:space="preserve"> nu se încadrează în buget cu plata salariilor actuale. De asemenea, d</w:t>
      </w:r>
      <w:r w:rsidRPr="003A391D">
        <w:rPr>
          <w:rFonts w:ascii="Times New Roman" w:eastAsia="Calibri" w:hAnsi="Times New Roman" w:cs="Times New Roman"/>
          <w:b/>
          <w:sz w:val="24"/>
          <w:szCs w:val="24"/>
        </w:rPr>
        <w:t>in evidențele contabile de la nivelul ISJ Bacău, mai precis din Nota nr.</w:t>
      </w:r>
      <w:r>
        <w:rPr>
          <w:rFonts w:ascii="Times New Roman" w:eastAsia="Calibri" w:hAnsi="Times New Roman" w:cs="Times New Roman"/>
          <w:b/>
          <w:sz w:val="24"/>
          <w:szCs w:val="24"/>
        </w:rPr>
        <w:t>9785/05.12.2019</w:t>
      </w:r>
      <w:r w:rsidRPr="003A391D">
        <w:rPr>
          <w:rFonts w:ascii="Times New Roman" w:eastAsia="Calibri" w:hAnsi="Times New Roman" w:cs="Times New Roman"/>
          <w:b/>
          <w:sz w:val="24"/>
          <w:szCs w:val="24"/>
        </w:rPr>
        <w:t xml:space="preserve"> rezultă fără echivoc că unitatea de învățământ nu se încadrează în bugetul de venituri și cheltuieli aprobat cu plata salariilor (în cuantumul existent la data prezentei, adică în lipsa sporului de condiții vătămătoare) </w:t>
      </w:r>
      <w:r w:rsidRPr="003A391D">
        <w:rPr>
          <w:rFonts w:ascii="Times New Roman" w:eastAsia="Calibri" w:hAnsi="Times New Roman" w:cs="Times New Roman"/>
          <w:b/>
          <w:sz w:val="24"/>
          <w:szCs w:val="24"/>
          <w:u w:val="single"/>
        </w:rPr>
        <w:t>rezultă în mod clar că această cheltuială cu sporul de condiții vătămătoare nu se încadrează în buget.</w:t>
      </w:r>
    </w:p>
    <w:p w14:paraId="4AC552A5" w14:textId="77777777" w:rsidR="00C12A30" w:rsidRDefault="00C12A30" w:rsidP="00C12A3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ab/>
        <w:t>Considerăm că neîndeplinirea condiției de încadrare a sumelor necesare plății sporului de condiții vătămătoare în bugetul aprobat este îndestulătoare în aprecierea netemeiniciei acordării acestuia și pe cale de consecință conduce la respingerea acțiunii ca nelegală și netemeinică.</w:t>
      </w:r>
    </w:p>
    <w:p w14:paraId="0F005850" w14:textId="77777777" w:rsidR="00C12A30" w:rsidRDefault="00C12A30" w:rsidP="00C12A3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ab/>
      </w:r>
    </w:p>
    <w:p w14:paraId="1B48BCC5" w14:textId="77777777" w:rsidR="00C12A30" w:rsidRDefault="00C12A30" w:rsidP="00C12A30">
      <w:pPr>
        <w:spacing w:after="0" w:line="23" w:lineRule="atLeast"/>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w:t>
      </w:r>
      <w:r w:rsidRPr="00B73EC8">
        <w:rPr>
          <w:rFonts w:ascii="Times New Roman" w:hAnsi="Times New Roman" w:cs="Times New Roman"/>
          <w:b/>
          <w:sz w:val="24"/>
          <w:szCs w:val="24"/>
        </w:rPr>
        <w:t xml:space="preserve">reptul substanțial </w:t>
      </w:r>
      <w:r>
        <w:rPr>
          <w:rFonts w:ascii="Times New Roman" w:hAnsi="Times New Roman" w:cs="Times New Roman"/>
          <w:b/>
          <w:sz w:val="24"/>
          <w:szCs w:val="24"/>
        </w:rPr>
        <w:t>pe fiecărei categorie</w:t>
      </w:r>
      <w:r w:rsidRPr="00B73EC8">
        <w:rPr>
          <w:rFonts w:ascii="Times New Roman" w:hAnsi="Times New Roman" w:cs="Times New Roman"/>
          <w:b/>
          <w:sz w:val="24"/>
          <w:szCs w:val="24"/>
        </w:rPr>
        <w:t xml:space="preserve"> de personal</w:t>
      </w:r>
    </w:p>
    <w:p w14:paraId="507EA4E3" w14:textId="77777777" w:rsidR="00C12A30" w:rsidRPr="00A313A9" w:rsidRDefault="00C12A30" w:rsidP="00C12A30">
      <w:pPr>
        <w:spacing w:after="0" w:line="23" w:lineRule="atLeast"/>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După verificarea </w:t>
      </w:r>
      <w:r w:rsidRPr="00A313A9">
        <w:rPr>
          <w:rFonts w:ascii="Times New Roman" w:hAnsi="Times New Roman" w:cs="Times New Roman"/>
          <w:sz w:val="24"/>
          <w:szCs w:val="24"/>
        </w:rPr>
        <w:t>condiției de încadrare în buge</w:t>
      </w:r>
      <w:r>
        <w:rPr>
          <w:rFonts w:ascii="Times New Roman" w:hAnsi="Times New Roman" w:cs="Times New Roman"/>
          <w:sz w:val="24"/>
          <w:szCs w:val="24"/>
        </w:rPr>
        <w:t xml:space="preserve">t, supunem analizei </w:t>
      </w:r>
      <w:r w:rsidRPr="00A313A9">
        <w:rPr>
          <w:rFonts w:ascii="Times New Roman" w:hAnsi="Times New Roman" w:cs="Times New Roman"/>
          <w:sz w:val="24"/>
          <w:szCs w:val="24"/>
        </w:rPr>
        <w:t xml:space="preserve">îndeplinirea condițiilor care generează nașterea dreptului material, </w:t>
      </w:r>
      <w:r>
        <w:rPr>
          <w:rFonts w:ascii="Times New Roman" w:hAnsi="Times New Roman" w:cs="Times New Roman"/>
          <w:sz w:val="24"/>
          <w:szCs w:val="24"/>
        </w:rPr>
        <w:t>distinct, pe cele două categorii de personal, respectiv didactic și nedidactic (reglementate de art.88 din Legea nr.1/2011)</w:t>
      </w:r>
      <w:r w:rsidRPr="00A313A9">
        <w:rPr>
          <w:rFonts w:ascii="Times New Roman" w:hAnsi="Times New Roman" w:cs="Times New Roman"/>
          <w:sz w:val="24"/>
          <w:szCs w:val="24"/>
        </w:rPr>
        <w:t xml:space="preserve"> </w:t>
      </w:r>
    </w:p>
    <w:p w14:paraId="258871B5" w14:textId="77777777" w:rsidR="00C12A30" w:rsidRPr="00A313A9" w:rsidRDefault="00C12A30" w:rsidP="00C12A30">
      <w:pPr>
        <w:spacing w:after="0" w:line="23" w:lineRule="atLeast"/>
        <w:ind w:left="360"/>
        <w:jc w:val="both"/>
        <w:rPr>
          <w:rFonts w:ascii="Times New Roman" w:hAnsi="Times New Roman" w:cs="Times New Roman"/>
          <w:sz w:val="24"/>
          <w:szCs w:val="24"/>
        </w:rPr>
      </w:pPr>
    </w:p>
    <w:p w14:paraId="7E7EED0A" w14:textId="77777777" w:rsidR="00C12A30" w:rsidRPr="004E3930" w:rsidRDefault="00C12A30" w:rsidP="00C12A30">
      <w:pPr>
        <w:pStyle w:val="Listparagraf"/>
        <w:numPr>
          <w:ilvl w:val="0"/>
          <w:numId w:val="2"/>
        </w:numPr>
        <w:spacing w:after="0" w:line="23" w:lineRule="atLeast"/>
        <w:jc w:val="both"/>
        <w:rPr>
          <w:rFonts w:ascii="Times New Roman" w:hAnsi="Times New Roman" w:cs="Times New Roman"/>
          <w:sz w:val="24"/>
          <w:szCs w:val="24"/>
        </w:rPr>
      </w:pPr>
      <w:r w:rsidRPr="004E3930">
        <w:rPr>
          <w:rFonts w:ascii="Times New Roman" w:hAnsi="Times New Roman" w:cs="Times New Roman"/>
          <w:sz w:val="24"/>
          <w:szCs w:val="24"/>
        </w:rPr>
        <w:t xml:space="preserve">Pentru </w:t>
      </w:r>
      <w:r w:rsidRPr="004E3930">
        <w:rPr>
          <w:rFonts w:ascii="Times New Roman" w:hAnsi="Times New Roman" w:cs="Times New Roman"/>
          <w:sz w:val="24"/>
          <w:szCs w:val="24"/>
          <w:u w:val="single"/>
        </w:rPr>
        <w:t>personalul nedidactic</w:t>
      </w:r>
      <w:r w:rsidRPr="004E3930">
        <w:rPr>
          <w:rFonts w:ascii="Times New Roman" w:hAnsi="Times New Roman" w:cs="Times New Roman"/>
          <w:sz w:val="24"/>
          <w:szCs w:val="24"/>
        </w:rPr>
        <w:t xml:space="preserve"> sunt incidente prevederile art.8, alin.(2) din Regulamentul aprobat prin HG nr.34/2018 care face trimitere la H.G. nr.569/2017 potrivit căruia </w:t>
      </w:r>
      <w:r w:rsidRPr="004E3930">
        <w:rPr>
          <w:rFonts w:ascii="Times New Roman" w:hAnsi="Times New Roman" w:cs="Times New Roman"/>
          <w:b/>
          <w:sz w:val="24"/>
          <w:szCs w:val="24"/>
        </w:rPr>
        <w:t>acordarea sporului e condiționată de existența factorilor de risc</w:t>
      </w:r>
      <w:r w:rsidRPr="004E3930">
        <w:rPr>
          <w:rFonts w:ascii="Times New Roman" w:hAnsi="Times New Roman" w:cs="Times New Roman"/>
          <w:sz w:val="24"/>
          <w:szCs w:val="24"/>
        </w:rPr>
        <w:t xml:space="preserve"> confirmată de determinările sau, după caz, expertizările de specialitate de către organele abilitate în acest sens. </w:t>
      </w:r>
    </w:p>
    <w:p w14:paraId="665892FD" w14:textId="77777777" w:rsidR="00C12A30" w:rsidRDefault="00C12A30" w:rsidP="00C12A30">
      <w:pPr>
        <w:spacing w:after="0" w:line="23" w:lineRule="atLeast"/>
        <w:jc w:val="both"/>
        <w:rPr>
          <w:rFonts w:ascii="Times New Roman" w:hAnsi="Times New Roman" w:cs="Times New Roman"/>
          <w:sz w:val="24"/>
          <w:szCs w:val="24"/>
        </w:rPr>
      </w:pPr>
    </w:p>
    <w:p w14:paraId="6F0BE593" w14:textId="39A88DD5" w:rsidR="00C12A30" w:rsidRPr="006B3D62" w:rsidRDefault="00C12A30" w:rsidP="00C12A30">
      <w:pPr>
        <w:pStyle w:val="Listparagraf"/>
        <w:numPr>
          <w:ilvl w:val="0"/>
          <w:numId w:val="2"/>
        </w:numPr>
        <w:spacing w:after="0" w:line="23" w:lineRule="atLeast"/>
        <w:jc w:val="both"/>
        <w:rPr>
          <w:rFonts w:ascii="Times New Roman" w:eastAsia="Calibri" w:hAnsi="Times New Roman" w:cs="Times New Roman"/>
          <w:b/>
          <w:sz w:val="24"/>
          <w:szCs w:val="24"/>
        </w:rPr>
      </w:pPr>
      <w:r w:rsidRPr="004E3930">
        <w:rPr>
          <w:rFonts w:ascii="Times New Roman" w:eastAsia="Calibri" w:hAnsi="Times New Roman" w:cs="Times New Roman"/>
          <w:sz w:val="24"/>
          <w:szCs w:val="24"/>
        </w:rPr>
        <w:t xml:space="preserve">Pentru </w:t>
      </w:r>
      <w:r w:rsidRPr="004E3930">
        <w:rPr>
          <w:rFonts w:ascii="Times New Roman" w:eastAsia="Calibri" w:hAnsi="Times New Roman" w:cs="Times New Roman"/>
          <w:sz w:val="24"/>
          <w:szCs w:val="24"/>
          <w:u w:val="single"/>
        </w:rPr>
        <w:t>personalul didactic</w:t>
      </w:r>
      <w:r w:rsidRPr="004E3930">
        <w:rPr>
          <w:rFonts w:ascii="Times New Roman" w:eastAsia="Calibri" w:hAnsi="Times New Roman" w:cs="Times New Roman"/>
          <w:sz w:val="24"/>
          <w:szCs w:val="24"/>
        </w:rPr>
        <w:t xml:space="preserve">, </w:t>
      </w:r>
      <w:r w:rsidRPr="004E3930">
        <w:rPr>
          <w:rFonts w:ascii="Times New Roman" w:eastAsia="Calibri" w:hAnsi="Times New Roman" w:cs="Times New Roman"/>
          <w:b/>
          <w:sz w:val="24"/>
          <w:szCs w:val="24"/>
        </w:rPr>
        <w:t xml:space="preserve">acordarea sporului </w:t>
      </w:r>
      <w:r>
        <w:rPr>
          <w:rFonts w:ascii="Times New Roman" w:eastAsia="Calibri" w:hAnsi="Times New Roman" w:cs="Times New Roman"/>
          <w:b/>
          <w:sz w:val="24"/>
          <w:szCs w:val="24"/>
        </w:rPr>
        <w:t xml:space="preserve">și mărimea acestuia </w:t>
      </w:r>
      <w:r w:rsidRPr="004E3930">
        <w:rPr>
          <w:rFonts w:ascii="Times New Roman" w:eastAsia="Calibri" w:hAnsi="Times New Roman" w:cs="Times New Roman"/>
          <w:b/>
          <w:sz w:val="24"/>
          <w:szCs w:val="24"/>
        </w:rPr>
        <w:t>e condiționată de în</w:t>
      </w:r>
      <w:r>
        <w:rPr>
          <w:rFonts w:ascii="Times New Roman" w:eastAsia="Calibri" w:hAnsi="Times New Roman" w:cs="Times New Roman"/>
          <w:b/>
          <w:sz w:val="24"/>
          <w:szCs w:val="24"/>
        </w:rPr>
        <w:t>cadrarea în una dintre c</w:t>
      </w:r>
      <w:r w:rsidRPr="004E3930">
        <w:rPr>
          <w:rFonts w:ascii="Times New Roman" w:eastAsia="Calibri" w:hAnsi="Times New Roman" w:cs="Times New Roman"/>
          <w:b/>
          <w:sz w:val="24"/>
          <w:szCs w:val="24"/>
        </w:rPr>
        <w:t xml:space="preserve">ondițiile </w:t>
      </w:r>
      <w:r>
        <w:rPr>
          <w:rFonts w:ascii="Times New Roman" w:eastAsia="Calibri" w:hAnsi="Times New Roman" w:cs="Times New Roman"/>
          <w:b/>
          <w:sz w:val="24"/>
          <w:szCs w:val="24"/>
        </w:rPr>
        <w:t>stabilite de art.10-art.14 din R</w:t>
      </w:r>
      <w:r w:rsidRPr="004E3930">
        <w:rPr>
          <w:rFonts w:ascii="Times New Roman" w:eastAsia="Calibri" w:hAnsi="Times New Roman" w:cs="Times New Roman"/>
          <w:b/>
          <w:sz w:val="24"/>
          <w:szCs w:val="24"/>
        </w:rPr>
        <w:t>egulamentul aprobat prin HG nr.</w:t>
      </w:r>
      <w:r w:rsidR="002A2826">
        <w:rPr>
          <w:rFonts w:ascii="Times New Roman" w:eastAsia="Calibri" w:hAnsi="Times New Roman" w:cs="Times New Roman"/>
          <w:b/>
          <w:sz w:val="24"/>
          <w:szCs w:val="24"/>
        </w:rPr>
        <w:t xml:space="preserve"> </w:t>
      </w:r>
      <w:r w:rsidRPr="004E3930">
        <w:rPr>
          <w:rFonts w:ascii="Times New Roman" w:eastAsia="Calibri" w:hAnsi="Times New Roman" w:cs="Times New Roman"/>
          <w:b/>
          <w:sz w:val="24"/>
          <w:szCs w:val="24"/>
        </w:rPr>
        <w:t>34/2018</w:t>
      </w:r>
      <w:r>
        <w:rPr>
          <w:rFonts w:ascii="Times New Roman" w:eastAsia="Calibri" w:hAnsi="Times New Roman" w:cs="Times New Roman"/>
          <w:b/>
          <w:sz w:val="24"/>
          <w:szCs w:val="24"/>
        </w:rPr>
        <w:t>. Numai personalul didactic care se înscrie în aceste condiții poate beneficia de sporul de condiții vătămătoare și numai pentru personalului didactic încadrat în prevederile art.10-art.14 se pot realiza determinările și expertizările de specialitate. Altfel, buletinele de determinare nu pot produce efecte chiar dacă confirmă existența unor factori de risc care ar justifica acordarea sporului, căci Legea 153/2017 impune respectarea condițiilor de acordare</w:t>
      </w:r>
      <w:r w:rsidRPr="006B3D62">
        <w:rPr>
          <w:rFonts w:ascii="Times New Roman" w:eastAsia="Calibri" w:hAnsi="Times New Roman" w:cs="Times New Roman"/>
          <w:b/>
          <w:sz w:val="24"/>
          <w:szCs w:val="24"/>
        </w:rPr>
        <w:t xml:space="preserve">, </w:t>
      </w:r>
      <w:r w:rsidRPr="006B3D62">
        <w:rPr>
          <w:rFonts w:ascii="Times New Roman" w:eastAsia="Times New Roman" w:hAnsi="Times New Roman" w:cs="Times New Roman"/>
          <w:b/>
          <w:sz w:val="24"/>
          <w:szCs w:val="24"/>
          <w:lang w:eastAsia="ro-RO"/>
        </w:rPr>
        <w:t xml:space="preserve">stabilirea locurilor de muncă, a categoriilor de personal, a mărimii concrete a sporului pentru </w:t>
      </w:r>
      <w:proofErr w:type="spellStart"/>
      <w:r w:rsidRPr="006B3D62">
        <w:rPr>
          <w:rFonts w:ascii="Times New Roman" w:eastAsia="Times New Roman" w:hAnsi="Times New Roman" w:cs="Times New Roman"/>
          <w:b/>
          <w:sz w:val="24"/>
          <w:szCs w:val="24"/>
          <w:lang w:eastAsia="ro-RO"/>
        </w:rPr>
        <w:t>condiţii</w:t>
      </w:r>
      <w:proofErr w:type="spellEnd"/>
      <w:r w:rsidRPr="006B3D62">
        <w:rPr>
          <w:rFonts w:ascii="Times New Roman" w:eastAsia="Times New Roman" w:hAnsi="Times New Roman" w:cs="Times New Roman"/>
          <w:b/>
          <w:sz w:val="24"/>
          <w:szCs w:val="24"/>
          <w:lang w:eastAsia="ro-RO"/>
        </w:rPr>
        <w:t xml:space="preserve"> de muncă</w:t>
      </w:r>
      <w:r>
        <w:rPr>
          <w:rFonts w:ascii="Times New Roman" w:eastAsia="Times New Roman" w:hAnsi="Times New Roman" w:cs="Times New Roman"/>
          <w:b/>
          <w:sz w:val="24"/>
          <w:szCs w:val="24"/>
          <w:lang w:eastAsia="ro-RO"/>
        </w:rPr>
        <w:t xml:space="preserve"> conform</w:t>
      </w:r>
      <w:r w:rsidRPr="006B3D62">
        <w:rPr>
          <w:rFonts w:ascii="Times New Roman" w:eastAsia="Times New Roman" w:hAnsi="Times New Roman" w:cs="Times New Roman"/>
          <w:b/>
          <w:sz w:val="24"/>
          <w:szCs w:val="24"/>
          <w:lang w:eastAsia="ro-RO"/>
        </w:rPr>
        <w:t xml:space="preserve"> Regulament</w:t>
      </w:r>
      <w:r>
        <w:rPr>
          <w:rFonts w:ascii="Times New Roman" w:eastAsia="Times New Roman" w:hAnsi="Times New Roman" w:cs="Times New Roman"/>
          <w:b/>
          <w:sz w:val="24"/>
          <w:szCs w:val="24"/>
          <w:lang w:eastAsia="ro-RO"/>
        </w:rPr>
        <w:t>ului (în speță aprobat prin HG nr.34/2018), care impune condițiile de acordare și cuantum reglementate de art.10-art.14 ce nu pot fi ignorate.</w:t>
      </w:r>
    </w:p>
    <w:p w14:paraId="3673274C" w14:textId="77777777" w:rsidR="00C12A30" w:rsidRDefault="00C12A30" w:rsidP="00C12A3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Deși am solicitat Școlii Gimnaziale nr.1 Orbeni să ne comunice pentru personalul didactic temeiul legal al aprobării sporului pentru condiții de muncă vătămătoare,</w:t>
      </w:r>
      <w:r w:rsidRPr="00DF1A6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pârâta nu a răspuns solicitărilor noastre și, de asemenea, reclamanții care fac parte din această categorie de personal nu au făcut dovada încadrării în una dintre cerințele art.10- art.14 din HG nr.34/2018.</w:t>
      </w:r>
    </w:p>
    <w:p w14:paraId="7AB761DA" w14:textId="77777777" w:rsidR="00C12A30" w:rsidRDefault="00C12A30" w:rsidP="00C12A30">
      <w:pPr>
        <w:ind w:firstLine="360"/>
        <w:jc w:val="both"/>
        <w:rPr>
          <w:rFonts w:ascii="Times New Roman" w:eastAsia="Calibri" w:hAnsi="Times New Roman" w:cs="Times New Roman"/>
          <w:b/>
          <w:sz w:val="24"/>
          <w:szCs w:val="24"/>
        </w:rPr>
      </w:pPr>
    </w:p>
    <w:p w14:paraId="6831E0D4" w14:textId="77777777" w:rsidR="00C12A30" w:rsidRDefault="00C12A30" w:rsidP="00C12A30">
      <w:pPr>
        <w:ind w:firstLine="360"/>
        <w:jc w:val="both"/>
        <w:rPr>
          <w:rFonts w:ascii="Times New Roman" w:eastAsia="Calibri" w:hAnsi="Times New Roman" w:cs="Times New Roman"/>
          <w:b/>
          <w:sz w:val="24"/>
          <w:szCs w:val="24"/>
        </w:rPr>
      </w:pPr>
      <w:r>
        <w:rPr>
          <w:rFonts w:ascii="Times New Roman" w:eastAsia="Calibri" w:hAnsi="Times New Roman" w:cs="Times New Roman"/>
          <w:b/>
          <w:sz w:val="24"/>
          <w:szCs w:val="24"/>
        </w:rPr>
        <w:t>Restricțiile ISJ în acordarea sporului de condiții vătămătoare</w:t>
      </w:r>
    </w:p>
    <w:p w14:paraId="5C8B0FF0" w14:textId="1255F8D4" w:rsidR="00C12A30" w:rsidRDefault="00C12A30" w:rsidP="00C12A30">
      <w:pPr>
        <w:spacing w:after="0" w:line="23" w:lineRule="atLeast"/>
        <w:ind w:firstLine="360"/>
        <w:jc w:val="both"/>
      </w:pPr>
      <w:r>
        <w:t xml:space="preserve">Statele de personal și statele de plată a salariilor/concediilor ale </w:t>
      </w:r>
      <w:proofErr w:type="spellStart"/>
      <w:r>
        <w:t>unităţilor</w:t>
      </w:r>
      <w:proofErr w:type="spellEnd"/>
      <w:r>
        <w:t xml:space="preserve"> de </w:t>
      </w:r>
      <w:proofErr w:type="spellStart"/>
      <w:r>
        <w:t>învăţământ</w:t>
      </w:r>
      <w:proofErr w:type="spellEnd"/>
      <w:r>
        <w:t xml:space="preserve">, pentru toate categoriile de personal, se întocmesc de </w:t>
      </w:r>
      <w:proofErr w:type="spellStart"/>
      <w:r>
        <w:t>unităţile</w:t>
      </w:r>
      <w:proofErr w:type="spellEnd"/>
      <w:r>
        <w:t xml:space="preserve"> de </w:t>
      </w:r>
      <w:proofErr w:type="spellStart"/>
      <w:r>
        <w:t>învăţământ</w:t>
      </w:r>
      <w:proofErr w:type="spellEnd"/>
      <w:r>
        <w:t xml:space="preserve"> </w:t>
      </w:r>
      <w:proofErr w:type="spellStart"/>
      <w:r>
        <w:t>şi</w:t>
      </w:r>
      <w:proofErr w:type="spellEnd"/>
      <w:r>
        <w:t xml:space="preserve"> se avizează de inspectoratele </w:t>
      </w:r>
      <w:proofErr w:type="spellStart"/>
      <w:r>
        <w:t>şcolare</w:t>
      </w:r>
      <w:proofErr w:type="spellEnd"/>
      <w:r>
        <w:t xml:space="preserve">, la începutul fiecărui an </w:t>
      </w:r>
      <w:proofErr w:type="spellStart"/>
      <w:r>
        <w:t>şcolar</w:t>
      </w:r>
      <w:proofErr w:type="spellEnd"/>
      <w:r>
        <w:t xml:space="preserve"> sau ori de câte ori apar modificări conform legii nr.1/2011 și art.2 și art.4 din Ordinul comun nr.</w:t>
      </w:r>
      <w:r w:rsidR="002A2826">
        <w:t xml:space="preserve"> </w:t>
      </w:r>
      <w:r>
        <w:t>4576/2011.</w:t>
      </w:r>
    </w:p>
    <w:p w14:paraId="5DEF4BBE" w14:textId="77777777" w:rsidR="00C12A30" w:rsidRPr="00FE55A1" w:rsidRDefault="00C12A30" w:rsidP="00C12A30">
      <w:pPr>
        <w:spacing w:after="0" w:line="23" w:lineRule="atLeast"/>
        <w:ind w:firstLine="360"/>
        <w:jc w:val="both"/>
        <w:rPr>
          <w:rFonts w:ascii="Times New Roman" w:eastAsia="Calibri" w:hAnsi="Times New Roman" w:cs="Times New Roman"/>
          <w:b/>
          <w:i/>
          <w:sz w:val="24"/>
          <w:szCs w:val="24"/>
        </w:rPr>
      </w:pPr>
      <w:r>
        <w:t>Conform Anexei nr.4 din ordinul sus amintit, art.1</w:t>
      </w:r>
      <w:r w:rsidRPr="00FE55A1">
        <w:t xml:space="preserve"> </w:t>
      </w:r>
      <w:r>
        <w:t>”</w:t>
      </w:r>
      <w:r w:rsidRPr="00FE55A1">
        <w:rPr>
          <w:i/>
        </w:rPr>
        <w:t xml:space="preserve">Pentru facilitarea </w:t>
      </w:r>
      <w:proofErr w:type="spellStart"/>
      <w:r w:rsidRPr="00FE55A1">
        <w:rPr>
          <w:i/>
        </w:rPr>
        <w:t>operaţiunilor</w:t>
      </w:r>
      <w:proofErr w:type="spellEnd"/>
      <w:r w:rsidRPr="00FE55A1">
        <w:rPr>
          <w:i/>
        </w:rPr>
        <w:t xml:space="preserve"> de avizare a statelor de personal </w:t>
      </w:r>
      <w:proofErr w:type="spellStart"/>
      <w:r w:rsidRPr="00FE55A1">
        <w:rPr>
          <w:i/>
        </w:rPr>
        <w:t>şi</w:t>
      </w:r>
      <w:proofErr w:type="spellEnd"/>
      <w:r w:rsidRPr="00FE55A1">
        <w:rPr>
          <w:i/>
        </w:rPr>
        <w:t xml:space="preserve"> a statelor de plată a salariilor/statelor de plată avansuri concedii de odihnă, </w:t>
      </w:r>
      <w:proofErr w:type="spellStart"/>
      <w:r w:rsidRPr="00FE55A1">
        <w:rPr>
          <w:i/>
        </w:rPr>
        <w:t>aşa</w:t>
      </w:r>
      <w:proofErr w:type="spellEnd"/>
      <w:r w:rsidRPr="00FE55A1">
        <w:rPr>
          <w:i/>
        </w:rPr>
        <w:t xml:space="preserve"> cum sunt descrise în ordin, Ministerul </w:t>
      </w:r>
      <w:proofErr w:type="spellStart"/>
      <w:r w:rsidRPr="00FE55A1">
        <w:rPr>
          <w:i/>
        </w:rPr>
        <w:t>Educaţiei</w:t>
      </w:r>
      <w:proofErr w:type="spellEnd"/>
      <w:r w:rsidRPr="00FE55A1">
        <w:rPr>
          <w:i/>
        </w:rPr>
        <w:t xml:space="preserve">, Cercetării, Tineretului </w:t>
      </w:r>
      <w:proofErr w:type="spellStart"/>
      <w:r w:rsidRPr="00FE55A1">
        <w:rPr>
          <w:i/>
        </w:rPr>
        <w:t>şi</w:t>
      </w:r>
      <w:proofErr w:type="spellEnd"/>
      <w:r w:rsidRPr="00FE55A1">
        <w:rPr>
          <w:i/>
        </w:rPr>
        <w:t xml:space="preserve"> Sportului, denumit în continuare </w:t>
      </w:r>
      <w:r w:rsidRPr="00FE55A1">
        <w:rPr>
          <w:b/>
          <w:bCs/>
          <w:i/>
        </w:rPr>
        <w:t>M.E.C.T.S.</w:t>
      </w:r>
      <w:r w:rsidRPr="00FE55A1">
        <w:rPr>
          <w:i/>
        </w:rPr>
        <w:t xml:space="preserve">, pune la </w:t>
      </w:r>
      <w:proofErr w:type="spellStart"/>
      <w:r w:rsidRPr="00FE55A1">
        <w:rPr>
          <w:i/>
        </w:rPr>
        <w:t>dispoziţia</w:t>
      </w:r>
      <w:proofErr w:type="spellEnd"/>
      <w:r w:rsidRPr="00FE55A1">
        <w:rPr>
          <w:i/>
        </w:rPr>
        <w:t xml:space="preserve"> inspectoratelor </w:t>
      </w:r>
      <w:proofErr w:type="spellStart"/>
      <w:r w:rsidRPr="00FE55A1">
        <w:rPr>
          <w:i/>
        </w:rPr>
        <w:t>şcolare</w:t>
      </w:r>
      <w:proofErr w:type="spellEnd"/>
      <w:r w:rsidRPr="00FE55A1">
        <w:rPr>
          <w:i/>
        </w:rPr>
        <w:t xml:space="preserve"> </w:t>
      </w:r>
      <w:proofErr w:type="spellStart"/>
      <w:r w:rsidRPr="00FE55A1">
        <w:rPr>
          <w:i/>
        </w:rPr>
        <w:t>şi</w:t>
      </w:r>
      <w:proofErr w:type="spellEnd"/>
      <w:r w:rsidRPr="00FE55A1">
        <w:rPr>
          <w:i/>
        </w:rPr>
        <w:t xml:space="preserve"> a </w:t>
      </w:r>
      <w:proofErr w:type="spellStart"/>
      <w:r w:rsidRPr="00FE55A1">
        <w:rPr>
          <w:i/>
        </w:rPr>
        <w:t>unităţilor</w:t>
      </w:r>
      <w:proofErr w:type="spellEnd"/>
      <w:r w:rsidRPr="00FE55A1">
        <w:rPr>
          <w:i/>
        </w:rPr>
        <w:t xml:space="preserve"> de </w:t>
      </w:r>
      <w:proofErr w:type="spellStart"/>
      <w:r w:rsidRPr="00FE55A1">
        <w:rPr>
          <w:i/>
        </w:rPr>
        <w:t>învăţământ</w:t>
      </w:r>
      <w:proofErr w:type="spellEnd"/>
      <w:r w:rsidRPr="00FE55A1">
        <w:rPr>
          <w:i/>
        </w:rPr>
        <w:t xml:space="preserve"> preuniversitar de stat </w:t>
      </w:r>
      <w:r w:rsidRPr="00FE55A1">
        <w:rPr>
          <w:b/>
          <w:i/>
        </w:rPr>
        <w:t>sistemul informatic</w:t>
      </w:r>
      <w:r w:rsidRPr="00FE55A1">
        <w:rPr>
          <w:i/>
        </w:rPr>
        <w:t xml:space="preserve"> </w:t>
      </w:r>
      <w:r w:rsidRPr="00FE55A1">
        <w:rPr>
          <w:b/>
          <w:i/>
        </w:rPr>
        <w:t xml:space="preserve">EDUSAL </w:t>
      </w:r>
      <w:r w:rsidRPr="00FE55A1">
        <w:rPr>
          <w:i/>
        </w:rPr>
        <w:t>de calcul al drepturilor salariale.”</w:t>
      </w:r>
    </w:p>
    <w:p w14:paraId="4039A4E5" w14:textId="77777777" w:rsidR="00C12A30" w:rsidRDefault="00C12A30" w:rsidP="00C12A30">
      <w:pPr>
        <w:spacing w:after="0" w:line="23" w:lineRule="atLeast"/>
        <w:ind w:firstLine="360"/>
        <w:jc w:val="both"/>
        <w:rPr>
          <w:rFonts w:ascii="Times New Roman" w:eastAsia="Calibri" w:hAnsi="Times New Roman" w:cs="Times New Roman"/>
          <w:sz w:val="24"/>
          <w:szCs w:val="24"/>
        </w:rPr>
      </w:pPr>
      <w:r w:rsidRPr="00FE55A1">
        <w:rPr>
          <w:rFonts w:ascii="Times New Roman" w:eastAsia="Calibri" w:hAnsi="Times New Roman" w:cs="Times New Roman"/>
          <w:sz w:val="24"/>
          <w:szCs w:val="24"/>
        </w:rPr>
        <w:t>Acest program informatic nu permite avizarea statelor de personal/plată cu includerea sporului de condiții vătămătoare</w:t>
      </w:r>
      <w:r>
        <w:rPr>
          <w:rFonts w:ascii="Times New Roman" w:eastAsia="Calibri" w:hAnsi="Times New Roman" w:cs="Times New Roman"/>
          <w:sz w:val="24"/>
          <w:szCs w:val="24"/>
        </w:rPr>
        <w:t>. În argumentarea acestei restricționări adiționăm dosarul cauzei cu un extras din programul EDUSAL care conține alerta generată de program în cazul introducerii sporului de condiții vătămătoare pentru o unitate de învățământ din județul Bacău care a întrunit condițiile de încadrare în buget. Alerta care apare sub forma #V# este explicată în Legendă astfel: ”Conform HG nr.34/2018 nu poate fi acordat spor de condiții vătămătoare”</w:t>
      </w:r>
    </w:p>
    <w:p w14:paraId="7E77BC1B" w14:textId="22F69D96" w:rsidR="00C12A30" w:rsidRDefault="00C12A30" w:rsidP="00C12A30">
      <w:pPr>
        <w:spacing w:after="0" w:line="23" w:lineRule="atLeast"/>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Motivat de acest neajuns, chiar în situația pronunțării unei soluții de acordare a sporului de condiții vătămătoare, ISJ  va fi în imposibilitatea avizării statelor de plată/personal cu acest spor.</w:t>
      </w:r>
    </w:p>
    <w:p w14:paraId="52784C9F" w14:textId="77777777" w:rsidR="00C12A30" w:rsidRDefault="00C12A30" w:rsidP="00C12A30">
      <w:pPr>
        <w:spacing w:after="0" w:line="23" w:lineRule="atLeast"/>
        <w:ind w:firstLine="360"/>
        <w:jc w:val="both"/>
        <w:rPr>
          <w:rFonts w:ascii="Times New Roman" w:eastAsia="Calibri" w:hAnsi="Times New Roman" w:cs="Times New Roman"/>
          <w:sz w:val="24"/>
          <w:szCs w:val="24"/>
        </w:rPr>
      </w:pPr>
    </w:p>
    <w:p w14:paraId="6C20507E" w14:textId="20C631FC" w:rsidR="00C12A30" w:rsidRPr="002A2826" w:rsidRDefault="00C12A30" w:rsidP="00C12A30">
      <w:pPr>
        <w:spacing w:after="0" w:line="23" w:lineRule="atLeast"/>
        <w:ind w:firstLine="360"/>
        <w:jc w:val="both"/>
        <w:rPr>
          <w:rFonts w:ascii="Times New Roman" w:eastAsia="Calibri" w:hAnsi="Times New Roman" w:cs="Times New Roman"/>
          <w:bCs/>
          <w:sz w:val="24"/>
          <w:szCs w:val="24"/>
        </w:rPr>
      </w:pPr>
      <w:r w:rsidRPr="002A2826">
        <w:rPr>
          <w:rFonts w:ascii="Times New Roman" w:eastAsia="Calibri" w:hAnsi="Times New Roman" w:cs="Times New Roman"/>
          <w:bCs/>
          <w:sz w:val="24"/>
          <w:szCs w:val="24"/>
        </w:rPr>
        <w:lastRenderedPageBreak/>
        <w:t>Față de considerentele expuse mai sus, solicităm instanței de judecată să constate neîndeplinirea condițiilor legale de acordare a sporului de condiții vătămătoare și pe cale de consecință să respingă acțiunea reclamanților ca netemeinică și nelegală</w:t>
      </w:r>
      <w:r w:rsidR="002A2826" w:rsidRPr="002A2826">
        <w:rPr>
          <w:rFonts w:ascii="Times New Roman" w:eastAsia="Calibri" w:hAnsi="Times New Roman" w:cs="Times New Roman"/>
          <w:bCs/>
          <w:sz w:val="24"/>
          <w:szCs w:val="24"/>
        </w:rPr>
        <w:t>.</w:t>
      </w:r>
    </w:p>
    <w:p w14:paraId="2EBCDEB8" w14:textId="2F9A6987" w:rsidR="00C12A30" w:rsidRPr="002A2826" w:rsidRDefault="00C12A30" w:rsidP="00C12A30">
      <w:pPr>
        <w:tabs>
          <w:tab w:val="left" w:pos="450"/>
        </w:tabs>
        <w:spacing w:after="0" w:line="240" w:lineRule="auto"/>
        <w:contextualSpacing/>
        <w:jc w:val="center"/>
        <w:rPr>
          <w:rFonts w:ascii="Times New Roman" w:eastAsia="Times New Roman" w:hAnsi="Times New Roman" w:cs="Times New Roman"/>
          <w:bCs/>
          <w:sz w:val="24"/>
          <w:szCs w:val="24"/>
        </w:rPr>
      </w:pPr>
    </w:p>
    <w:p w14:paraId="51CF3E14" w14:textId="0F8E3199" w:rsidR="002A2826" w:rsidRPr="002A2826" w:rsidRDefault="002A2826" w:rsidP="002A2826">
      <w:pPr>
        <w:tabs>
          <w:tab w:val="left" w:pos="450"/>
        </w:tabs>
        <w:spacing w:after="0" w:line="240" w:lineRule="auto"/>
        <w:contextualSpacing/>
        <w:jc w:val="both"/>
        <w:rPr>
          <w:rFonts w:ascii="Times New Roman" w:eastAsia="Times New Roman" w:hAnsi="Times New Roman" w:cs="Times New Roman"/>
          <w:bCs/>
          <w:sz w:val="24"/>
          <w:szCs w:val="24"/>
        </w:rPr>
      </w:pPr>
      <w:r w:rsidRPr="002A2826">
        <w:rPr>
          <w:rFonts w:ascii="Times New Roman" w:eastAsia="Times New Roman" w:hAnsi="Times New Roman" w:cs="Times New Roman"/>
          <w:bCs/>
          <w:sz w:val="24"/>
          <w:szCs w:val="24"/>
        </w:rPr>
        <w:t xml:space="preserve">          </w:t>
      </w:r>
      <w:r w:rsidRPr="002A2826">
        <w:rPr>
          <w:rFonts w:ascii="Times New Roman" w:eastAsia="Times New Roman" w:hAnsi="Times New Roman" w:cs="Times New Roman"/>
          <w:bCs/>
          <w:sz w:val="24"/>
          <w:szCs w:val="24"/>
        </w:rPr>
        <w:t>În temeiul art.411 alin (1) pct. 2 teza a-II-a din Noul Cod de procedură civilă, rugăm ca judecarea cauzei să se facă și în lipsa reprezentantului nostru.</w:t>
      </w:r>
    </w:p>
    <w:p w14:paraId="5D11788C" w14:textId="024A7505" w:rsidR="002A2826" w:rsidRPr="002A2826" w:rsidRDefault="002A2826" w:rsidP="002A2826">
      <w:pPr>
        <w:tabs>
          <w:tab w:val="left" w:pos="450"/>
        </w:tabs>
        <w:spacing w:after="0" w:line="240" w:lineRule="auto"/>
        <w:contextualSpacing/>
        <w:jc w:val="both"/>
        <w:rPr>
          <w:rFonts w:ascii="Times New Roman" w:eastAsia="Times New Roman" w:hAnsi="Times New Roman" w:cs="Times New Roman"/>
          <w:bCs/>
          <w:sz w:val="24"/>
          <w:szCs w:val="24"/>
        </w:rPr>
      </w:pPr>
    </w:p>
    <w:p w14:paraId="7D77F257" w14:textId="7D98F648" w:rsidR="002A2826" w:rsidRPr="002A2826" w:rsidRDefault="002A2826" w:rsidP="002A2826">
      <w:pPr>
        <w:tabs>
          <w:tab w:val="left" w:pos="450"/>
        </w:tabs>
        <w:spacing w:after="0" w:line="240" w:lineRule="auto"/>
        <w:contextualSpacing/>
        <w:jc w:val="both"/>
        <w:rPr>
          <w:rFonts w:ascii="Times New Roman" w:eastAsia="Times New Roman" w:hAnsi="Times New Roman" w:cs="Times New Roman"/>
          <w:bCs/>
          <w:sz w:val="24"/>
          <w:szCs w:val="24"/>
        </w:rPr>
      </w:pPr>
    </w:p>
    <w:p w14:paraId="702D10AE" w14:textId="7030BBA0" w:rsidR="002A2826" w:rsidRPr="002A2826" w:rsidRDefault="002A2826" w:rsidP="002A2826">
      <w:pPr>
        <w:tabs>
          <w:tab w:val="left" w:pos="450"/>
        </w:tabs>
        <w:spacing w:after="0" w:line="240" w:lineRule="auto"/>
        <w:contextualSpacing/>
        <w:jc w:val="both"/>
        <w:rPr>
          <w:rFonts w:ascii="Times New Roman" w:eastAsia="Times New Roman" w:hAnsi="Times New Roman" w:cs="Times New Roman"/>
          <w:bCs/>
          <w:sz w:val="24"/>
          <w:szCs w:val="24"/>
        </w:rPr>
      </w:pPr>
      <w:r w:rsidRPr="002A2826">
        <w:rPr>
          <w:rFonts w:ascii="Times New Roman" w:eastAsia="Times New Roman" w:hAnsi="Times New Roman" w:cs="Times New Roman"/>
          <w:bCs/>
          <w:sz w:val="24"/>
          <w:szCs w:val="24"/>
        </w:rPr>
        <w:t xml:space="preserve">           Director,                                                                     administrator financiar,</w:t>
      </w:r>
    </w:p>
    <w:p w14:paraId="45D08A74" w14:textId="1641E153" w:rsidR="00C12A30" w:rsidRPr="002A2826" w:rsidRDefault="00C12A30" w:rsidP="002A2826">
      <w:pPr>
        <w:tabs>
          <w:tab w:val="left" w:pos="450"/>
        </w:tabs>
        <w:spacing w:after="0" w:line="240" w:lineRule="auto"/>
        <w:contextualSpacing/>
        <w:jc w:val="both"/>
        <w:rPr>
          <w:rFonts w:ascii="Times New Roman" w:eastAsia="Times New Roman" w:hAnsi="Times New Roman" w:cs="Times New Roman"/>
          <w:bCs/>
          <w:sz w:val="24"/>
          <w:szCs w:val="24"/>
        </w:rPr>
      </w:pPr>
    </w:p>
    <w:p w14:paraId="6C5C7129" w14:textId="77777777" w:rsidR="00C12A30" w:rsidRPr="002A2826" w:rsidRDefault="00C12A30" w:rsidP="00C12A30">
      <w:pPr>
        <w:rPr>
          <w:bCs/>
        </w:rPr>
      </w:pPr>
    </w:p>
    <w:p w14:paraId="316E16C0" w14:textId="77777777" w:rsidR="00C12A30" w:rsidRDefault="00C12A30" w:rsidP="00C12A30"/>
    <w:p w14:paraId="676B8A1B" w14:textId="77777777" w:rsidR="00B07084" w:rsidRDefault="00B07084"/>
    <w:sectPr w:rsidR="00B07084" w:rsidSect="007954A2">
      <w:headerReference w:type="default" r:id="rId9"/>
      <w:footerReference w:type="default" r:id="rId10"/>
      <w:pgSz w:w="11907" w:h="16839" w:code="9"/>
      <w:pgMar w:top="1008" w:right="708" w:bottom="1008" w:left="1134" w:header="39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4896" w14:textId="77777777" w:rsidR="0070545B" w:rsidRDefault="0070545B">
      <w:pPr>
        <w:spacing w:after="0" w:line="240" w:lineRule="auto"/>
      </w:pPr>
      <w:r>
        <w:separator/>
      </w:r>
    </w:p>
  </w:endnote>
  <w:endnote w:type="continuationSeparator" w:id="0">
    <w:p w14:paraId="5C411B03" w14:textId="77777777" w:rsidR="0070545B" w:rsidRDefault="0070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AF3C" w14:textId="77777777" w:rsidR="003E42D9" w:rsidRDefault="00B31EC8" w:rsidP="00E160F0">
    <w:pPr>
      <w:pStyle w:val="Subsol"/>
      <w:ind w:left="6521"/>
      <w:jc w:val="right"/>
      <w:rPr>
        <w:rFonts w:ascii="Palatino Linotype" w:hAnsi="Palatino Linotype"/>
        <w:color w:val="0F243E"/>
      </w:rPr>
    </w:pPr>
    <w:r>
      <w:rPr>
        <w:rFonts w:ascii="Palatino Linotype" w:hAnsi="Palatino Linotype"/>
        <w:noProof/>
        <w:color w:val="0F243E"/>
        <w:lang w:eastAsia="ro-RO"/>
      </w:rPr>
      <mc:AlternateContent>
        <mc:Choice Requires="wps">
          <w:drawing>
            <wp:anchor distT="0" distB="0" distL="114300" distR="114300" simplePos="0" relativeHeight="251659264" behindDoc="0" locked="0" layoutInCell="1" allowOverlap="1" wp14:anchorId="31D88684" wp14:editId="5AAD508A">
              <wp:simplePos x="0" y="0"/>
              <wp:positionH relativeFrom="column">
                <wp:posOffset>4899025</wp:posOffset>
              </wp:positionH>
              <wp:positionV relativeFrom="paragraph">
                <wp:posOffset>17780</wp:posOffset>
              </wp:positionV>
              <wp:extent cx="1403350" cy="864870"/>
              <wp:effectExtent l="3175"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AF20" w14:textId="77777777" w:rsidR="003E42D9" w:rsidRPr="00B87613" w:rsidRDefault="00B31EC8"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0B2A892F" w14:textId="77777777" w:rsidR="003E42D9" w:rsidRPr="00F41B2E" w:rsidRDefault="0070545B" w:rsidP="00E47F6A">
                          <w:pPr>
                            <w:spacing w:after="0" w:line="288" w:lineRule="auto"/>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8684" id="_x0000_t202" coordsize="21600,21600" o:spt="202" path="m,l,21600r21600,l21600,xe">
              <v:stroke joinstyle="miter"/>
              <v:path gradientshapeok="t" o:connecttype="rect"/>
            </v:shapetype>
            <v:shape id="Text Box 1" o:spid="_x0000_s1026" type="#_x0000_t202" style="position:absolute;left:0;text-align:left;margin-left:385.75pt;margin-top:1.4pt;width:110.5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" stroked="f">
              <v:textbox inset="0,0,0,0">
                <w:txbxContent>
                  <w:p w14:paraId="45F7AF20" w14:textId="77777777" w:rsidR="003E42D9" w:rsidRPr="00B87613" w:rsidRDefault="00B31EC8"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0B2A892F" w14:textId="77777777" w:rsidR="003E42D9" w:rsidRPr="00F41B2E" w:rsidRDefault="0070545B" w:rsidP="00E47F6A">
                    <w:pPr>
                      <w:spacing w:after="0" w:line="288" w:lineRule="auto"/>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581D" w14:textId="77777777" w:rsidR="0070545B" w:rsidRDefault="0070545B">
      <w:pPr>
        <w:spacing w:after="0" w:line="240" w:lineRule="auto"/>
      </w:pPr>
      <w:r>
        <w:separator/>
      </w:r>
    </w:p>
  </w:footnote>
  <w:footnote w:type="continuationSeparator" w:id="0">
    <w:p w14:paraId="6A3974AF" w14:textId="77777777" w:rsidR="0070545B" w:rsidRDefault="0070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43CD" w14:textId="286BC724" w:rsidR="00E4027A" w:rsidRPr="00E4027A" w:rsidRDefault="00B31EC8" w:rsidP="00E4027A">
    <w:pPr>
      <w:tabs>
        <w:tab w:val="center" w:pos="4680"/>
        <w:tab w:val="right" w:pos="9360"/>
      </w:tabs>
      <w:spacing w:after="0" w:line="240" w:lineRule="auto"/>
      <w:rPr>
        <w:rFonts w:ascii="Palatino Linotype" w:eastAsia="Calibri" w:hAnsi="Palatino Linotype" w:cs="Times New Roman"/>
        <w:color w:val="0F243E"/>
        <w:sz w:val="28"/>
        <w:szCs w:val="28"/>
        <w:lang w:val="en-US"/>
      </w:rPr>
    </w:pPr>
    <w:r w:rsidRPr="00E4027A">
      <w:rPr>
        <w:rFonts w:ascii="Palatino Linotype" w:eastAsia="Calibri" w:hAnsi="Palatino Linotype" w:cs="Times New Roman"/>
        <w:color w:val="0F243E"/>
        <w:sz w:val="28"/>
        <w:szCs w:val="28"/>
        <w:lang w:val="en-US"/>
      </w:rPr>
      <w:t xml:space="preserve">                                                                                 </w:t>
    </w:r>
  </w:p>
  <w:p w14:paraId="20DEDD2D" w14:textId="77777777" w:rsidR="00E4027A" w:rsidRPr="00E4027A" w:rsidRDefault="00B31EC8" w:rsidP="00E4027A">
    <w:pPr>
      <w:tabs>
        <w:tab w:val="left" w:pos="8580"/>
      </w:tabs>
      <w:spacing w:after="0" w:line="240" w:lineRule="auto"/>
      <w:rPr>
        <w:rFonts w:ascii="Palatino Linotype" w:eastAsia="Calibri" w:hAnsi="Palatino Linotype" w:cs="Times New Roman"/>
        <w:color w:val="0F243E"/>
        <w:sz w:val="26"/>
        <w:lang w:val="en-US"/>
      </w:rPr>
    </w:pPr>
    <w:r w:rsidRPr="00E4027A">
      <w:rPr>
        <w:rFonts w:ascii="Palatino Linotype" w:eastAsia="Calibri" w:hAnsi="Palatino Linotype" w:cs="Times New Roman"/>
        <w:color w:val="0F243E"/>
        <w:sz w:val="26"/>
        <w:szCs w:val="26"/>
        <w:lang w:val="en-US"/>
      </w:rPr>
      <w:t xml:space="preserve">  </w:t>
    </w:r>
    <w:r w:rsidRPr="00E4027A">
      <w:rPr>
        <w:rFonts w:ascii="Palatino Linotype" w:eastAsia="Calibri" w:hAnsi="Palatino Linotype" w:cs="Times New Roman"/>
        <w:color w:val="0F243E"/>
        <w:sz w:val="26"/>
        <w:szCs w:val="26"/>
        <w:lang w:val="en-US"/>
      </w:rPr>
      <w:tab/>
    </w:r>
  </w:p>
  <w:p w14:paraId="20D7C8B0" w14:textId="165C6F55" w:rsidR="00E4027A" w:rsidRDefault="002A2826" w:rsidP="00E4027A">
    <w:pPr>
      <w:tabs>
        <w:tab w:val="center" w:pos="4680"/>
        <w:tab w:val="right" w:pos="9360"/>
      </w:tabs>
      <w:spacing w:after="0" w:line="240" w:lineRule="auto"/>
      <w:rPr>
        <w:rFonts w:ascii="Palatino Linotype" w:eastAsia="Calibri" w:hAnsi="Palatino Linotype" w:cs="Times New Roman"/>
        <w:color w:val="0F243E"/>
        <w:sz w:val="26"/>
        <w:lang w:val="en-US"/>
      </w:rPr>
    </w:pPr>
    <w:proofErr w:type="spellStart"/>
    <w:r>
      <w:rPr>
        <w:rFonts w:ascii="Palatino Linotype" w:eastAsia="Calibri" w:hAnsi="Palatino Linotype" w:cs="Times New Roman"/>
        <w:color w:val="0F243E"/>
        <w:sz w:val="26"/>
        <w:lang w:val="en-US"/>
      </w:rPr>
      <w:t>antet</w:t>
    </w:r>
    <w:proofErr w:type="spellEnd"/>
  </w:p>
  <w:p w14:paraId="113ACA67" w14:textId="77777777" w:rsidR="00E4027A" w:rsidRPr="00E4027A" w:rsidRDefault="00B31EC8" w:rsidP="00E4027A">
    <w:pPr>
      <w:tabs>
        <w:tab w:val="center" w:pos="4680"/>
        <w:tab w:val="right" w:pos="9360"/>
      </w:tabs>
      <w:spacing w:after="0" w:line="240" w:lineRule="auto"/>
      <w:rPr>
        <w:rFonts w:ascii="Times New Roman" w:eastAsia="Calibri" w:hAnsi="Times New Roman" w:cs="Times New Roman"/>
        <w:b/>
        <w:smallCaps/>
        <w:noProof/>
        <w:color w:val="000000"/>
        <w:sz w:val="28"/>
        <w:szCs w:val="24"/>
        <w:lang w:val="en-US" w:eastAsia="ro-RO"/>
      </w:rPr>
    </w:pPr>
    <w:r>
      <w:rPr>
        <w:rFonts w:ascii="Palatino Linotype" w:eastAsia="Calibri" w:hAnsi="Palatino Linotype" w:cs="Times New Roman"/>
        <w:color w:val="0F243E"/>
        <w:sz w:val="2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534F"/>
    <w:multiLevelType w:val="hybridMultilevel"/>
    <w:tmpl w:val="B158ED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0AC28E2"/>
    <w:multiLevelType w:val="hybridMultilevel"/>
    <w:tmpl w:val="41C20B1A"/>
    <w:lvl w:ilvl="0" w:tplc="ACFE0334">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30"/>
    <w:rsid w:val="000B3D78"/>
    <w:rsid w:val="002A2826"/>
    <w:rsid w:val="0070545B"/>
    <w:rsid w:val="009C6B0A"/>
    <w:rsid w:val="00B07084"/>
    <w:rsid w:val="00B31EC8"/>
    <w:rsid w:val="00B8271F"/>
    <w:rsid w:val="00C12A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09E4"/>
  <w15:docId w15:val="{4689E358-55D3-4D12-A759-26D7AF4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A3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12A3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12A30"/>
  </w:style>
  <w:style w:type="character" w:styleId="Hyperlink">
    <w:name w:val="Hyperlink"/>
    <w:uiPriority w:val="99"/>
    <w:rsid w:val="00C12A30"/>
    <w:rPr>
      <w:color w:val="0000FF"/>
      <w:u w:val="single"/>
    </w:rPr>
  </w:style>
  <w:style w:type="paragraph" w:styleId="Listparagraf">
    <w:name w:val="List Paragraph"/>
    <w:basedOn w:val="Normal"/>
    <w:uiPriority w:val="34"/>
    <w:qFormat/>
    <w:rsid w:val="00C12A30"/>
    <w:pPr>
      <w:ind w:left="720"/>
      <w:contextualSpacing/>
    </w:pPr>
  </w:style>
  <w:style w:type="paragraph" w:styleId="Antet">
    <w:name w:val="header"/>
    <w:basedOn w:val="Normal"/>
    <w:link w:val="AntetCaracter"/>
    <w:uiPriority w:val="99"/>
    <w:unhideWhenUsed/>
    <w:rsid w:val="002A282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A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87891" TargetMode="External"/><Relationship Id="rId3" Type="http://schemas.openxmlformats.org/officeDocument/2006/relationships/settings" Target="settings.xml"/><Relationship Id="rId7" Type="http://schemas.openxmlformats.org/officeDocument/2006/relationships/hyperlink" Target="unsaved://LexNavigato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8545</Characters>
  <Application>Microsoft Office Word</Application>
  <DocSecurity>0</DocSecurity>
  <Lines>71</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ISJ Contabilitate</cp:lastModifiedBy>
  <cp:revision>2</cp:revision>
  <cp:lastPrinted>2019-12-07T09:43:00Z</cp:lastPrinted>
  <dcterms:created xsi:type="dcterms:W3CDTF">2021-04-04T09:54:00Z</dcterms:created>
  <dcterms:modified xsi:type="dcterms:W3CDTF">2021-04-04T09:54:00Z</dcterms:modified>
</cp:coreProperties>
</file>